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30EC" w14:textId="77777777" w:rsidR="00EA15DA" w:rsidRPr="00DE6315" w:rsidRDefault="00EA15DA" w:rsidP="00C35EB2">
      <w:pPr>
        <w:ind w:right="-1"/>
        <w:jc w:val="center"/>
        <w:rPr>
          <w:rFonts w:cs="Calibri"/>
          <w:b/>
          <w:sz w:val="24"/>
          <w:szCs w:val="24"/>
        </w:rPr>
      </w:pPr>
    </w:p>
    <w:p w14:paraId="4BF6AEB1" w14:textId="492CE005" w:rsidR="00612189" w:rsidRPr="00DE6315" w:rsidRDefault="007426A1" w:rsidP="00C35EB2">
      <w:pPr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CONTRATO DE COMPRA DE ENERGIA ELÉCTRICA</w:t>
      </w:r>
      <w:r w:rsidR="00850376" w:rsidRPr="00DE6315">
        <w:rPr>
          <w:rFonts w:cs="Calibri"/>
          <w:b/>
          <w:sz w:val="24"/>
          <w:szCs w:val="24"/>
        </w:rPr>
        <w:t xml:space="preserve"> </w:t>
      </w:r>
      <w:r w:rsidR="003B5BE2">
        <w:rPr>
          <w:rFonts w:cs="Calibri"/>
          <w:b/>
          <w:sz w:val="24"/>
          <w:szCs w:val="24"/>
        </w:rPr>
        <w:t>(</w:t>
      </w:r>
      <w:r w:rsidR="009C2DB4">
        <w:rPr>
          <w:rFonts w:cs="Calibri"/>
          <w:b/>
          <w:sz w:val="24"/>
          <w:szCs w:val="24"/>
        </w:rPr>
        <w:t>m</w:t>
      </w:r>
      <w:r w:rsidR="003B5BE2">
        <w:rPr>
          <w:rFonts w:cs="Calibri"/>
          <w:b/>
          <w:sz w:val="24"/>
          <w:szCs w:val="24"/>
        </w:rPr>
        <w:t>inuta)</w:t>
      </w:r>
    </w:p>
    <w:p w14:paraId="519897F0" w14:textId="77777777" w:rsidR="007426A1" w:rsidRPr="00FC6CC5" w:rsidRDefault="007426A1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Entre</w:t>
      </w:r>
    </w:p>
    <w:p w14:paraId="6609B1A5" w14:textId="54CCAF45" w:rsidR="004C4E61" w:rsidRPr="00FC6CC5" w:rsidRDefault="0079206D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 xml:space="preserve">EDA - </w:t>
      </w:r>
      <w:r w:rsidR="007426A1" w:rsidRPr="00FC6CC5">
        <w:rPr>
          <w:rFonts w:cs="Calibri"/>
          <w:b/>
          <w:sz w:val="24"/>
          <w:szCs w:val="24"/>
        </w:rPr>
        <w:t>ELECTRICIDADE DOS AÇORES, S.A.</w:t>
      </w:r>
      <w:r w:rsidR="007426A1" w:rsidRPr="00FC6CC5">
        <w:rPr>
          <w:rFonts w:cs="Calibri"/>
          <w:sz w:val="24"/>
          <w:szCs w:val="24"/>
        </w:rPr>
        <w:t>, adiante apenas designado por</w:t>
      </w:r>
      <w:r w:rsidR="007426A1" w:rsidRPr="00FC6CC5">
        <w:rPr>
          <w:rFonts w:cs="Calibri"/>
          <w:b/>
          <w:sz w:val="24"/>
          <w:szCs w:val="24"/>
        </w:rPr>
        <w:t xml:space="preserve"> EDA</w:t>
      </w:r>
      <w:r w:rsidR="007426A1" w:rsidRPr="00FC6CC5">
        <w:rPr>
          <w:rFonts w:cs="Calibri"/>
          <w:sz w:val="24"/>
          <w:szCs w:val="24"/>
        </w:rPr>
        <w:t xml:space="preserve">, com sede na Rua Francisco Pereira Ataíde, nº 1, </w:t>
      </w:r>
      <w:r w:rsidR="00505BFD" w:rsidRPr="00FC6CC5">
        <w:rPr>
          <w:rFonts w:cs="Calibri"/>
          <w:sz w:val="24"/>
          <w:szCs w:val="24"/>
        </w:rPr>
        <w:t xml:space="preserve">concelho de </w:t>
      </w:r>
      <w:r w:rsidR="007426A1" w:rsidRPr="00FC6CC5">
        <w:rPr>
          <w:rFonts w:cs="Calibri"/>
          <w:sz w:val="24"/>
          <w:szCs w:val="24"/>
        </w:rPr>
        <w:t>Ponta Delgada</w:t>
      </w:r>
      <w:r w:rsidR="00E652DA" w:rsidRPr="00FC6CC5">
        <w:rPr>
          <w:rFonts w:cs="Calibri"/>
          <w:sz w:val="24"/>
          <w:szCs w:val="24"/>
        </w:rPr>
        <w:t xml:space="preserve">, </w:t>
      </w:r>
      <w:r w:rsidRPr="00FC6CC5">
        <w:rPr>
          <w:rFonts w:cs="Calibri"/>
          <w:sz w:val="24"/>
          <w:szCs w:val="24"/>
        </w:rPr>
        <w:t>com o número único de registo e de pessoa</w:t>
      </w:r>
      <w:r w:rsidR="004C4E61" w:rsidRPr="00FC6CC5">
        <w:rPr>
          <w:rFonts w:cs="Calibri"/>
          <w:sz w:val="24"/>
          <w:szCs w:val="24"/>
        </w:rPr>
        <w:t xml:space="preserve"> 512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032,</w:t>
      </w:r>
      <w:r w:rsidR="00E652DA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de € 70.000.000 (setenta milhões de euros),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D75EBF" w:rsidRPr="00FC6CC5">
        <w:rPr>
          <w:rFonts w:cs="Calibri"/>
          <w:sz w:val="24"/>
          <w:szCs w:val="24"/>
        </w:rPr>
        <w:t>representada</w:t>
      </w:r>
      <w:r w:rsidR="00A34847" w:rsidRPr="00FC6CC5">
        <w:rPr>
          <w:rFonts w:cs="Calibri"/>
          <w:sz w:val="24"/>
          <w:szCs w:val="24"/>
        </w:rPr>
        <w:t xml:space="preserve"> por</w:t>
      </w:r>
      <w:r w:rsidR="00064D60">
        <w:rPr>
          <w:rFonts w:cs="Calibri"/>
          <w:sz w:val="24"/>
          <w:szCs w:val="24"/>
        </w:rPr>
        <w:t xml:space="preserve"> ____________________</w:t>
      </w:r>
      <w:r w:rsidR="00E60681" w:rsidRPr="00FC6CC5">
        <w:rPr>
          <w:rFonts w:cs="Calibri"/>
          <w:sz w:val="24"/>
          <w:szCs w:val="24"/>
        </w:rPr>
        <w:t xml:space="preserve"> </w:t>
      </w:r>
      <w:r w:rsidR="00064D60" w:rsidRPr="00064D60">
        <w:rPr>
          <w:rFonts w:cs="Calibri"/>
          <w:b/>
          <w:bCs/>
          <w:sz w:val="24"/>
          <w:szCs w:val="24"/>
        </w:rPr>
        <w:t>(indicar pela EDA)</w:t>
      </w:r>
      <w:r w:rsidR="00A97B57" w:rsidRPr="00FC6CC5">
        <w:rPr>
          <w:rFonts w:cs="Calibri"/>
          <w:sz w:val="24"/>
          <w:szCs w:val="24"/>
        </w:rPr>
        <w:t>,</w:t>
      </w:r>
      <w:r w:rsidR="00E652DA" w:rsidRPr="00FC6CC5">
        <w:rPr>
          <w:rFonts w:cs="Calibri"/>
          <w:sz w:val="24"/>
          <w:szCs w:val="24"/>
        </w:rPr>
        <w:t xml:space="preserve"> com poderes para o ato</w:t>
      </w:r>
      <w:r w:rsidR="004C4E61" w:rsidRPr="00FC6CC5">
        <w:rPr>
          <w:rFonts w:cs="Calibri"/>
          <w:sz w:val="24"/>
          <w:szCs w:val="24"/>
        </w:rPr>
        <w:t>.</w:t>
      </w:r>
      <w:r w:rsidR="00F81882" w:rsidRPr="00FC6CC5">
        <w:rPr>
          <w:rFonts w:cs="Calibri"/>
          <w:sz w:val="24"/>
          <w:szCs w:val="24"/>
        </w:rPr>
        <w:tab/>
      </w:r>
    </w:p>
    <w:p w14:paraId="1CF0F085" w14:textId="77777777" w:rsidR="004C4E61" w:rsidRPr="00FC6CC5" w:rsidRDefault="004C4E61" w:rsidP="00C35EB2">
      <w:pPr>
        <w:ind w:right="-1"/>
        <w:jc w:val="both"/>
        <w:rPr>
          <w:rFonts w:cs="Calibri"/>
          <w:b/>
          <w:sz w:val="24"/>
          <w:szCs w:val="24"/>
        </w:rPr>
      </w:pPr>
      <w:r w:rsidRPr="00FC6CC5">
        <w:rPr>
          <w:rFonts w:cs="Calibri"/>
          <w:sz w:val="24"/>
          <w:szCs w:val="24"/>
        </w:rPr>
        <w:t>E</w:t>
      </w:r>
    </w:p>
    <w:p w14:paraId="717916F3" w14:textId="39A2A149" w:rsidR="00EB0309" w:rsidRDefault="00D47985" w:rsidP="00394C93">
      <w:pPr>
        <w:jc w:val="both"/>
        <w:rPr>
          <w:rFonts w:cs="Calibri"/>
          <w:sz w:val="24"/>
          <w:szCs w:val="24"/>
        </w:rPr>
      </w:pPr>
      <w:r w:rsidRPr="007F0163">
        <w:rPr>
          <w:b/>
          <w:bCs/>
          <w:sz w:val="24"/>
          <w:szCs w:val="24"/>
        </w:rPr>
        <w:t xml:space="preserve">AZORES PV &amp; BESS </w:t>
      </w:r>
      <w:r w:rsidR="00927E61">
        <w:rPr>
          <w:b/>
          <w:bCs/>
          <w:sz w:val="24"/>
          <w:szCs w:val="24"/>
        </w:rPr>
        <w:t>STA MARIA,</w:t>
      </w:r>
      <w:r w:rsidRPr="007F0163">
        <w:rPr>
          <w:b/>
          <w:bCs/>
          <w:sz w:val="24"/>
          <w:szCs w:val="24"/>
        </w:rPr>
        <w:t xml:space="preserve"> UNIPESSOAL LDA</w:t>
      </w:r>
      <w:r w:rsidR="0047779A" w:rsidRPr="00FC6CC5">
        <w:rPr>
          <w:rFonts w:cs="Calibri"/>
          <w:b/>
          <w:bCs/>
          <w:sz w:val="24"/>
          <w:szCs w:val="24"/>
        </w:rPr>
        <w:t>,</w:t>
      </w:r>
      <w:r w:rsidR="0047779A" w:rsidRPr="00FC6CC5">
        <w:rPr>
          <w:rFonts w:cs="Calibri"/>
          <w:sz w:val="24"/>
          <w:szCs w:val="24"/>
        </w:rPr>
        <w:t xml:space="preserve"> </w:t>
      </w:r>
      <w:r w:rsidR="00463254" w:rsidRPr="00FC6CC5">
        <w:rPr>
          <w:rFonts w:cs="Calibri"/>
          <w:sz w:val="24"/>
          <w:szCs w:val="24"/>
        </w:rPr>
        <w:t>adiante apenas designado por</w:t>
      </w:r>
      <w:r w:rsidR="00463254" w:rsidRPr="00FC6CC5">
        <w:rPr>
          <w:rFonts w:cs="Calibri"/>
          <w:b/>
          <w:sz w:val="24"/>
          <w:szCs w:val="24"/>
        </w:rPr>
        <w:t xml:space="preserve"> Produtor</w:t>
      </w:r>
      <w:r w:rsidR="00463254" w:rsidRPr="00FC6CC5">
        <w:rPr>
          <w:rFonts w:cs="Calibri"/>
          <w:sz w:val="24"/>
          <w:szCs w:val="24"/>
        </w:rPr>
        <w:t xml:space="preserve">, </w:t>
      </w:r>
      <w:r w:rsidR="00150A9E" w:rsidRPr="00FC6CC5">
        <w:rPr>
          <w:rFonts w:cs="Calibri"/>
          <w:sz w:val="24"/>
          <w:szCs w:val="24"/>
        </w:rPr>
        <w:t>com sede</w:t>
      </w:r>
      <w:r w:rsidRPr="00FC6CC5">
        <w:rPr>
          <w:rFonts w:cs="Calibri"/>
          <w:sz w:val="24"/>
          <w:szCs w:val="24"/>
        </w:rPr>
        <w:t xml:space="preserve"> na </w:t>
      </w:r>
      <w:r w:rsidR="00927E61" w:rsidRPr="00927E61">
        <w:rPr>
          <w:rFonts w:cs="Calibri"/>
          <w:sz w:val="24"/>
          <w:szCs w:val="24"/>
        </w:rPr>
        <w:t>Rua de Ponta Delgada</w:t>
      </w:r>
      <w:r w:rsidR="000D4BD6">
        <w:rPr>
          <w:rFonts w:cs="Calibri"/>
          <w:sz w:val="24"/>
          <w:szCs w:val="24"/>
        </w:rPr>
        <w:t>,</w:t>
      </w:r>
      <w:r w:rsidR="00927E61" w:rsidRPr="00927E61">
        <w:rPr>
          <w:rFonts w:cs="Calibri"/>
          <w:sz w:val="24"/>
          <w:szCs w:val="24"/>
        </w:rPr>
        <w:t xml:space="preserve"> 9580</w:t>
      </w:r>
      <w:r w:rsidR="000D4BD6">
        <w:rPr>
          <w:rFonts w:cs="Calibri"/>
          <w:sz w:val="24"/>
          <w:szCs w:val="24"/>
        </w:rPr>
        <w:t>-</w:t>
      </w:r>
      <w:r w:rsidR="00927E61" w:rsidRPr="00927E61">
        <w:rPr>
          <w:rFonts w:cs="Calibri"/>
          <w:sz w:val="24"/>
          <w:szCs w:val="24"/>
        </w:rPr>
        <w:t>434</w:t>
      </w:r>
      <w:r w:rsidR="000D4BD6">
        <w:rPr>
          <w:rFonts w:cs="Calibri"/>
          <w:sz w:val="24"/>
          <w:szCs w:val="24"/>
        </w:rPr>
        <w:t>,</w:t>
      </w:r>
      <w:r w:rsidR="00927E61" w:rsidRPr="00927E61">
        <w:rPr>
          <w:rFonts w:cs="Calibri"/>
          <w:sz w:val="24"/>
          <w:szCs w:val="24"/>
        </w:rPr>
        <w:t xml:space="preserve"> Vila do Porto</w:t>
      </w:r>
      <w:r w:rsidR="00927E61">
        <w:rPr>
          <w:rFonts w:cs="Calibri"/>
          <w:sz w:val="24"/>
          <w:szCs w:val="24"/>
        </w:rPr>
        <w:t>, Ilha de Santa Maria</w:t>
      </w:r>
      <w:r w:rsidR="00893107" w:rsidRPr="00FC6CC5">
        <w:rPr>
          <w:rFonts w:cs="Calibri"/>
          <w:sz w:val="24"/>
          <w:szCs w:val="24"/>
        </w:rPr>
        <w:t>,</w:t>
      </w:r>
      <w:r w:rsidR="00293D86" w:rsidRPr="00FC6CC5">
        <w:rPr>
          <w:rFonts w:cs="Calibri"/>
          <w:sz w:val="24"/>
          <w:szCs w:val="24"/>
        </w:rPr>
        <w:t xml:space="preserve"> </w:t>
      </w:r>
      <w:r w:rsidR="00CF38E1" w:rsidRPr="00FC6CC5">
        <w:rPr>
          <w:rFonts w:cs="Calibri"/>
          <w:sz w:val="24"/>
          <w:szCs w:val="24"/>
        </w:rPr>
        <w:t>pessoa</w:t>
      </w:r>
      <w:r w:rsidR="00E652DA" w:rsidRPr="00FC6CC5">
        <w:rPr>
          <w:rFonts w:cs="Calibri"/>
          <w:sz w:val="24"/>
          <w:szCs w:val="24"/>
        </w:rPr>
        <w:t xml:space="preserve"> coletiva nº</w:t>
      </w:r>
      <w:r w:rsidRPr="00FC6CC5">
        <w:rPr>
          <w:rFonts w:cs="Calibri"/>
          <w:sz w:val="24"/>
          <w:szCs w:val="24"/>
        </w:rPr>
        <w:t xml:space="preserve"> </w:t>
      </w:r>
      <w:r w:rsidRPr="00FC6CC5">
        <w:rPr>
          <w:sz w:val="24"/>
          <w:szCs w:val="24"/>
        </w:rPr>
        <w:t>517</w:t>
      </w:r>
      <w:r w:rsidR="00927E61">
        <w:rPr>
          <w:sz w:val="24"/>
          <w:szCs w:val="24"/>
        </w:rPr>
        <w:t>695987</w:t>
      </w:r>
      <w:r w:rsidRPr="00FC6CC5">
        <w:rPr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</w:t>
      </w:r>
      <w:r w:rsidR="006B33EE" w:rsidRPr="00FC6CC5">
        <w:rPr>
          <w:rFonts w:cs="Calibri"/>
          <w:sz w:val="24"/>
          <w:szCs w:val="24"/>
        </w:rPr>
        <w:t>de €</w:t>
      </w:r>
      <w:r w:rsidR="00455101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>1.000</w:t>
      </w:r>
      <w:r w:rsidR="00DE10AC">
        <w:rPr>
          <w:rFonts w:cs="Calibri"/>
          <w:sz w:val="24"/>
          <w:szCs w:val="24"/>
        </w:rPr>
        <w:t xml:space="preserve"> (mil euros)</w:t>
      </w:r>
      <w:r w:rsidR="004C4E61" w:rsidRPr="00FC6CC5">
        <w:rPr>
          <w:rFonts w:cs="Calibri"/>
          <w:b/>
          <w:bCs/>
          <w:sz w:val="24"/>
          <w:szCs w:val="24"/>
        </w:rPr>
        <w:t>,</w:t>
      </w:r>
      <w:r w:rsidR="004C4E61" w:rsidRPr="00FC6CC5">
        <w:rPr>
          <w:rFonts w:cs="Calibri"/>
          <w:sz w:val="24"/>
          <w:szCs w:val="24"/>
        </w:rPr>
        <w:t xml:space="preserve">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4C4E61" w:rsidRPr="00FC6CC5">
        <w:rPr>
          <w:rFonts w:cs="Calibri"/>
          <w:sz w:val="24"/>
          <w:szCs w:val="24"/>
        </w:rPr>
        <w:t>representada por</w:t>
      </w:r>
      <w:r w:rsidR="00AE06E2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 xml:space="preserve">Anton </w:t>
      </w:r>
      <w:r w:rsidR="00927E61">
        <w:rPr>
          <w:rFonts w:cs="Calibri"/>
          <w:sz w:val="24"/>
          <w:szCs w:val="24"/>
        </w:rPr>
        <w:t xml:space="preserve">Lothar </w:t>
      </w:r>
      <w:r w:rsidR="00FC7D73">
        <w:rPr>
          <w:rFonts w:cs="Calibri"/>
          <w:sz w:val="24"/>
          <w:szCs w:val="24"/>
        </w:rPr>
        <w:t>Ebersberg</w:t>
      </w:r>
      <w:r w:rsidR="00FC7D73" w:rsidRPr="00FC6CC5">
        <w:rPr>
          <w:rFonts w:cs="Calibri"/>
          <w:sz w:val="24"/>
          <w:szCs w:val="24"/>
        </w:rPr>
        <w:t>,</w:t>
      </w:r>
      <w:r w:rsidR="000D4BD6">
        <w:rPr>
          <w:rFonts w:cs="Calibri"/>
          <w:sz w:val="24"/>
          <w:szCs w:val="24"/>
        </w:rPr>
        <w:t xml:space="preserve"> na qualidade de gerente</w:t>
      </w:r>
      <w:r w:rsidR="00FC7D73" w:rsidRPr="00FC6CC5">
        <w:rPr>
          <w:rFonts w:cs="Calibri"/>
          <w:sz w:val="24"/>
          <w:szCs w:val="24"/>
        </w:rPr>
        <w:t xml:space="preserve"> </w:t>
      </w:r>
      <w:r w:rsidR="00E652DA" w:rsidRPr="00FC6CC5">
        <w:rPr>
          <w:rFonts w:cs="Calibri"/>
          <w:sz w:val="24"/>
          <w:szCs w:val="24"/>
        </w:rPr>
        <w:t>com poderes para o ato</w:t>
      </w:r>
      <w:r w:rsidR="004C4E61" w:rsidRPr="00FC6CC5">
        <w:rPr>
          <w:rFonts w:cs="Calibri"/>
          <w:sz w:val="24"/>
          <w:szCs w:val="24"/>
        </w:rPr>
        <w:t>.</w:t>
      </w:r>
    </w:p>
    <w:p w14:paraId="5FADE99F" w14:textId="77777777" w:rsidR="00394C93" w:rsidRPr="00394C93" w:rsidRDefault="00394C93" w:rsidP="00394C93">
      <w:pPr>
        <w:jc w:val="both"/>
        <w:rPr>
          <w:rFonts w:cs="Calibri"/>
          <w:sz w:val="24"/>
          <w:szCs w:val="24"/>
        </w:rPr>
      </w:pPr>
    </w:p>
    <w:p w14:paraId="77E38EF1" w14:textId="0011E15A" w:rsidR="00D47985" w:rsidRDefault="00F053E6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É celebrado o presente contrato de compra e venda de eletricidade</w:t>
      </w:r>
      <w:r w:rsidR="00944EDE" w:rsidRPr="00FC6CC5">
        <w:rPr>
          <w:rFonts w:cs="Calibri"/>
          <w:sz w:val="24"/>
          <w:szCs w:val="24"/>
        </w:rPr>
        <w:t>,</w:t>
      </w:r>
      <w:r w:rsidRPr="00FC6CC5">
        <w:rPr>
          <w:rFonts w:cs="Calibri"/>
          <w:sz w:val="24"/>
          <w:szCs w:val="24"/>
        </w:rPr>
        <w:t xml:space="preserve"> o qual se rege pelas cláusulas seguintes:</w:t>
      </w:r>
    </w:p>
    <w:p w14:paraId="6FEFAA16" w14:textId="77777777" w:rsidR="00A5078F" w:rsidRPr="00FC6CC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585CF59E" w14:textId="77777777" w:rsidR="00F053E6" w:rsidRPr="00FC6CC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Cláusula Primeira</w:t>
      </w:r>
    </w:p>
    <w:p w14:paraId="01479055" w14:textId="77777777" w:rsidR="00F053E6" w:rsidRPr="00FC6CC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(Obje</w:t>
      </w:r>
      <w:r w:rsidR="00F053E6" w:rsidRPr="00FC6CC5">
        <w:rPr>
          <w:rFonts w:cs="Calibri"/>
          <w:b/>
          <w:sz w:val="24"/>
          <w:szCs w:val="24"/>
        </w:rPr>
        <w:t>to do contrato</w:t>
      </w:r>
      <w:r w:rsidRPr="00FC6CC5">
        <w:rPr>
          <w:rFonts w:cs="Calibri"/>
          <w:b/>
          <w:sz w:val="24"/>
          <w:szCs w:val="24"/>
        </w:rPr>
        <w:t>)</w:t>
      </w:r>
    </w:p>
    <w:p w14:paraId="70599A32" w14:textId="460C87AD" w:rsidR="0080351B" w:rsidRPr="0080351B" w:rsidRDefault="0080351B" w:rsidP="0080351B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80351B">
        <w:rPr>
          <w:rFonts w:cs="Calibri"/>
          <w:sz w:val="24"/>
          <w:szCs w:val="24"/>
        </w:rPr>
        <w:t xml:space="preserve">O </w:t>
      </w:r>
      <w:r w:rsidRPr="0080351B">
        <w:rPr>
          <w:rFonts w:cs="Calibri"/>
          <w:b/>
          <w:bCs/>
          <w:sz w:val="24"/>
          <w:szCs w:val="24"/>
        </w:rPr>
        <w:t>Produtor</w:t>
      </w:r>
      <w:r w:rsidRPr="0080351B">
        <w:rPr>
          <w:rFonts w:cs="Calibri"/>
          <w:sz w:val="24"/>
          <w:szCs w:val="24"/>
        </w:rPr>
        <w:t xml:space="preserve"> </w:t>
      </w:r>
      <w:r w:rsidRPr="00B45BD2">
        <w:rPr>
          <w:rFonts w:cs="Calibri"/>
          <w:sz w:val="24"/>
          <w:szCs w:val="24"/>
        </w:rPr>
        <w:t>pretende estabelecer uma instalação de produção de eletricidade através de tecnologia solar fotovoltaica, dotada de um sistema de armazenamento de energia elétrica, a que fica associada uma instalação de utilização de energia elétrica para alimentação dos diversos serviços auxiliares,</w:t>
      </w:r>
      <w:r w:rsidRPr="0080351B">
        <w:rPr>
          <w:rFonts w:cs="Calibri"/>
          <w:sz w:val="24"/>
          <w:szCs w:val="24"/>
        </w:rPr>
        <w:t xml:space="preserve"> situada </w:t>
      </w:r>
      <w:r w:rsidR="00E74AF9">
        <w:rPr>
          <w:rFonts w:cs="Calibri"/>
          <w:sz w:val="24"/>
          <w:szCs w:val="24"/>
        </w:rPr>
        <w:t>em rua Angra do Heroísmo</w:t>
      </w:r>
      <w:r w:rsidR="00E74AF9" w:rsidRPr="00442E91">
        <w:rPr>
          <w:rFonts w:cs="Calibri"/>
          <w:sz w:val="24"/>
          <w:szCs w:val="24"/>
        </w:rPr>
        <w:t xml:space="preserve">, </w:t>
      </w:r>
      <w:r w:rsidR="00E74AF9">
        <w:rPr>
          <w:rFonts w:cs="Calibri"/>
          <w:sz w:val="24"/>
          <w:szCs w:val="24"/>
        </w:rPr>
        <w:t>Vila do Porto,</w:t>
      </w:r>
      <w:r w:rsidRPr="0080351B">
        <w:rPr>
          <w:rFonts w:cs="Calibri"/>
          <w:sz w:val="24"/>
          <w:szCs w:val="24"/>
        </w:rPr>
        <w:t xml:space="preserve"> em terrenos agrícolas, Nº Prédio </w:t>
      </w:r>
      <w:r w:rsidR="00E74AF9">
        <w:rPr>
          <w:rFonts w:cs="Calibri"/>
          <w:sz w:val="24"/>
          <w:szCs w:val="24"/>
        </w:rPr>
        <w:t>4867 e 4868</w:t>
      </w:r>
      <w:r w:rsidRPr="0080351B">
        <w:rPr>
          <w:rFonts w:cs="Calibri"/>
          <w:sz w:val="24"/>
          <w:szCs w:val="24"/>
        </w:rPr>
        <w:t xml:space="preserve">, </w:t>
      </w:r>
      <w:r w:rsidR="00E74AF9" w:rsidRPr="00E74AF9">
        <w:rPr>
          <w:rFonts w:cs="Calibri"/>
          <w:sz w:val="24"/>
          <w:szCs w:val="24"/>
        </w:rPr>
        <w:t>36º57’57.26”N, 25º08’58.18”O</w:t>
      </w:r>
      <w:r w:rsidRPr="0080351B">
        <w:rPr>
          <w:rFonts w:cs="Calibri"/>
          <w:sz w:val="24"/>
          <w:szCs w:val="24"/>
        </w:rPr>
        <w:t>, no</w:t>
      </w:r>
      <w:r w:rsidRPr="00EC56FA">
        <w:rPr>
          <w:rFonts w:cs="Calibri"/>
          <w:sz w:val="24"/>
          <w:szCs w:val="24"/>
        </w:rPr>
        <w:t xml:space="preserve"> concelho de </w:t>
      </w:r>
      <w:r w:rsidR="00D66A54">
        <w:rPr>
          <w:rFonts w:cs="Calibri"/>
          <w:sz w:val="24"/>
          <w:szCs w:val="24"/>
        </w:rPr>
        <w:t>Vila do Porto</w:t>
      </w:r>
      <w:r w:rsidRPr="00EC56FA">
        <w:rPr>
          <w:rFonts w:cs="Calibri"/>
          <w:sz w:val="24"/>
          <w:szCs w:val="24"/>
        </w:rPr>
        <w:t>, Ilha de S</w:t>
      </w:r>
      <w:r w:rsidR="00D66A54">
        <w:rPr>
          <w:rFonts w:cs="Calibri"/>
          <w:sz w:val="24"/>
          <w:szCs w:val="24"/>
        </w:rPr>
        <w:t>anta Maria</w:t>
      </w:r>
      <w:r w:rsidRPr="00EC56FA">
        <w:rPr>
          <w:rFonts w:cs="Calibri"/>
          <w:sz w:val="24"/>
          <w:szCs w:val="24"/>
        </w:rPr>
        <w:t>, Região Autónoma dos Açores, a que corresponde o Código de Ponto de Entrega (CPE) (a identificar apenas após a formalização do contrato de consumo em MT), conforme auto de ligação da instalação de produção à rede.</w:t>
      </w:r>
    </w:p>
    <w:p w14:paraId="02CB39F7" w14:textId="77777777" w:rsidR="00612622" w:rsidRPr="00FC6CC5" w:rsidRDefault="00612622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O ponto de interligação, a localização dos equipamentos de proteção e medida, as condições de ligação do centro produtor, os pressupostos do projeto e os respetivos requisitos técnicos constam do </w:t>
      </w:r>
      <w:r w:rsidRPr="00FC6CC5">
        <w:rPr>
          <w:rFonts w:cs="Calibri"/>
          <w:b/>
          <w:bCs/>
          <w:sz w:val="24"/>
          <w:szCs w:val="24"/>
        </w:rPr>
        <w:t>Anexo</w:t>
      </w:r>
      <w:r w:rsidR="00D27403" w:rsidRPr="00FC6CC5">
        <w:rPr>
          <w:rFonts w:cs="Calibri"/>
          <w:b/>
          <w:bCs/>
          <w:sz w:val="24"/>
          <w:szCs w:val="24"/>
        </w:rPr>
        <w:t xml:space="preserve"> I</w:t>
      </w:r>
      <w:r w:rsidR="00B53920" w:rsidRPr="00FC6CC5">
        <w:rPr>
          <w:rFonts w:cs="Calibri"/>
          <w:b/>
          <w:bCs/>
          <w:sz w:val="24"/>
          <w:szCs w:val="24"/>
        </w:rPr>
        <w:t xml:space="preserve"> </w:t>
      </w:r>
      <w:r w:rsidR="00B53920" w:rsidRPr="00FC6CC5">
        <w:rPr>
          <w:rFonts w:cs="Calibri"/>
          <w:sz w:val="24"/>
          <w:szCs w:val="24"/>
        </w:rPr>
        <w:t>que, rubricado pelas partes, faz parte integrante do presente contrato.</w:t>
      </w:r>
    </w:p>
    <w:p w14:paraId="497B6E31" w14:textId="77777777" w:rsidR="00306223" w:rsidRPr="00FC6CC5" w:rsidRDefault="003B5DA1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 xml:space="preserve">Caso se comprovem excessivas perturbações de tensão na rede atribuíveis ao funcionamento da instalação do Produtor, </w:t>
      </w:r>
      <w:r w:rsidR="00690021" w:rsidRPr="00FC6CC5">
        <w:rPr>
          <w:rFonts w:cs="Calibri"/>
          <w:sz w:val="24"/>
          <w:szCs w:val="24"/>
        </w:rPr>
        <w:t>a</w:t>
      </w:r>
      <w:r w:rsidRPr="00FC6CC5">
        <w:rPr>
          <w:rFonts w:cs="Calibri"/>
          <w:sz w:val="24"/>
          <w:szCs w:val="24"/>
        </w:rPr>
        <w:t xml:space="preserve"> EDA</w:t>
      </w:r>
      <w:r w:rsidR="00690021" w:rsidRPr="00FC6CC5">
        <w:rPr>
          <w:rFonts w:cs="Calibri"/>
          <w:sz w:val="24"/>
          <w:szCs w:val="24"/>
        </w:rPr>
        <w:t xml:space="preserve"> poderá adotar as medidas legalmente admissíveis relativas </w:t>
      </w:r>
      <w:r w:rsidRPr="00FC6CC5">
        <w:rPr>
          <w:rFonts w:cs="Calibri"/>
          <w:sz w:val="24"/>
          <w:szCs w:val="24"/>
        </w:rPr>
        <w:t>à eliminação das causas da perturbação.</w:t>
      </w:r>
      <w:r w:rsidR="00240FAF" w:rsidRPr="00FC6CC5">
        <w:rPr>
          <w:rFonts w:cs="Calibri"/>
          <w:sz w:val="24"/>
          <w:szCs w:val="24"/>
        </w:rPr>
        <w:t xml:space="preserve"> </w:t>
      </w:r>
    </w:p>
    <w:p w14:paraId="1F3F2B81" w14:textId="77777777" w:rsidR="00EA15DA" w:rsidRPr="00DE6315" w:rsidRDefault="00EA15DA" w:rsidP="00EA15DA">
      <w:pPr>
        <w:pStyle w:val="ListParagraph"/>
        <w:ind w:right="-1"/>
        <w:jc w:val="both"/>
        <w:rPr>
          <w:rFonts w:cs="Calibri"/>
          <w:sz w:val="24"/>
          <w:szCs w:val="24"/>
        </w:rPr>
      </w:pPr>
    </w:p>
    <w:p w14:paraId="5574B08E" w14:textId="77777777" w:rsidR="00F053E6" w:rsidRPr="00DE631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Segunda</w:t>
      </w:r>
    </w:p>
    <w:p w14:paraId="78A6165E" w14:textId="77777777" w:rsidR="00A67515" w:rsidRPr="00DE631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A67515" w:rsidRPr="00DE6315">
        <w:rPr>
          <w:rFonts w:cs="Calibri"/>
          <w:b/>
          <w:sz w:val="24"/>
          <w:szCs w:val="24"/>
        </w:rPr>
        <w:t>Equipamentos</w:t>
      </w:r>
      <w:r w:rsidRPr="00DE6315">
        <w:rPr>
          <w:rFonts w:cs="Calibri"/>
          <w:b/>
          <w:sz w:val="24"/>
          <w:szCs w:val="24"/>
        </w:rPr>
        <w:t>)</w:t>
      </w:r>
    </w:p>
    <w:p w14:paraId="0A07E1F8" w14:textId="22655ED3" w:rsidR="00C35DCE" w:rsidRPr="006D7E8F" w:rsidRDefault="00927E61" w:rsidP="006D7E8F">
      <w:pPr>
        <w:pStyle w:val="ListParagraph"/>
        <w:spacing w:after="0"/>
        <w:jc w:val="both"/>
        <w:rPr>
          <w:sz w:val="24"/>
          <w:szCs w:val="24"/>
        </w:rPr>
      </w:pPr>
      <w:bookmarkStart w:id="0" w:name="_Hlk149666731"/>
      <w:r w:rsidRPr="00B45BD2">
        <w:rPr>
          <w:rFonts w:cs="Calibri"/>
          <w:sz w:val="24"/>
          <w:szCs w:val="24"/>
        </w:rPr>
        <w:t xml:space="preserve">Sem prejuízo do disposto na Cláusula Primeira, a unidade de produção fotovoltaica possuirá uma </w:t>
      </w:r>
      <w:r w:rsidRPr="00B45BD2">
        <w:rPr>
          <w:sz w:val="24"/>
          <w:szCs w:val="24"/>
        </w:rPr>
        <w:t xml:space="preserve">capacidade instalada em painéis de </w:t>
      </w:r>
      <w:r>
        <w:rPr>
          <w:sz w:val="24"/>
          <w:szCs w:val="24"/>
        </w:rPr>
        <w:t>2</w:t>
      </w:r>
      <w:r w:rsidRPr="00B45BD2">
        <w:rPr>
          <w:sz w:val="24"/>
          <w:szCs w:val="24"/>
        </w:rPr>
        <w:t>,</w:t>
      </w:r>
      <w:r w:rsidR="00262001">
        <w:rPr>
          <w:sz w:val="24"/>
          <w:szCs w:val="24"/>
        </w:rPr>
        <w:t>61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</w:t>
      </w:r>
      <w:r w:rsidRPr="00B45BD2">
        <w:rPr>
          <w:sz w:val="24"/>
          <w:szCs w:val="24"/>
        </w:rPr>
        <w:t>C (</w:t>
      </w:r>
      <w:r>
        <w:rPr>
          <w:sz w:val="24"/>
          <w:szCs w:val="24"/>
        </w:rPr>
        <w:t>3.</w:t>
      </w:r>
      <w:r w:rsidR="00B96818">
        <w:rPr>
          <w:sz w:val="24"/>
          <w:szCs w:val="24"/>
        </w:rPr>
        <w:t>744</w:t>
      </w:r>
      <w:r w:rsidRPr="00B45BD2">
        <w:rPr>
          <w:sz w:val="24"/>
          <w:szCs w:val="24"/>
        </w:rPr>
        <w:t xml:space="preserve"> painéis solares de 700W</w:t>
      </w:r>
      <w:r w:rsidR="00340185">
        <w:rPr>
          <w:sz w:val="24"/>
          <w:szCs w:val="24"/>
        </w:rPr>
        <w:t xml:space="preserve"> </w:t>
      </w:r>
      <w:r w:rsidR="001266A0" w:rsidRPr="001266A0">
        <w:rPr>
          <w:sz w:val="24"/>
          <w:szCs w:val="24"/>
        </w:rPr>
        <w:t>6 inversores string</w:t>
      </w:r>
      <w:r w:rsidR="00340185">
        <w:rPr>
          <w:sz w:val="24"/>
          <w:szCs w:val="24"/>
        </w:rPr>
        <w:t xml:space="preserve"> </w:t>
      </w:r>
      <w:r w:rsidR="001266A0" w:rsidRPr="001266A0">
        <w:rPr>
          <w:sz w:val="24"/>
          <w:szCs w:val="24"/>
        </w:rPr>
        <w:t>solares da Huawei do tipo SUN2000-330KTL-H1 com potência unitária de 330 kW</w:t>
      </w:r>
      <w:r>
        <w:rPr>
          <w:sz w:val="24"/>
          <w:szCs w:val="24"/>
        </w:rPr>
        <w:t xml:space="preserve">, </w:t>
      </w:r>
      <w:r w:rsidRPr="00B45BD2">
        <w:rPr>
          <w:sz w:val="24"/>
          <w:szCs w:val="24"/>
        </w:rPr>
        <w:t xml:space="preserve">com uma potência de injeção </w:t>
      </w:r>
      <w:r w:rsidR="00F05F22">
        <w:rPr>
          <w:sz w:val="24"/>
          <w:szCs w:val="24"/>
        </w:rPr>
        <w:t xml:space="preserve">total </w:t>
      </w:r>
      <w:r w:rsidRPr="00B45BD2">
        <w:rPr>
          <w:sz w:val="24"/>
          <w:szCs w:val="24"/>
        </w:rPr>
        <w:t xml:space="preserve">na rede máxima de </w:t>
      </w:r>
      <w:r>
        <w:rPr>
          <w:sz w:val="24"/>
          <w:szCs w:val="24"/>
        </w:rPr>
        <w:t>2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CA,</w:t>
      </w:r>
      <w:r w:rsidRPr="00B45BD2">
        <w:rPr>
          <w:sz w:val="24"/>
          <w:szCs w:val="24"/>
        </w:rPr>
        <w:t xml:space="preserve"> e incluirá um sistema de armazenamento de energia elétrica em baterias (BESS) de </w:t>
      </w:r>
      <w:r w:rsidR="00FB3B41">
        <w:rPr>
          <w:sz w:val="24"/>
          <w:szCs w:val="24"/>
        </w:rPr>
        <w:t>2</w:t>
      </w:r>
      <w:r w:rsidRPr="00B45BD2">
        <w:rPr>
          <w:sz w:val="24"/>
          <w:szCs w:val="24"/>
        </w:rPr>
        <w:t>MW/</w:t>
      </w:r>
      <w:r w:rsidR="00FB3B41">
        <w:rPr>
          <w:sz w:val="24"/>
          <w:szCs w:val="24"/>
        </w:rPr>
        <w:t>4</w:t>
      </w:r>
      <w:r w:rsidRPr="00B45BD2">
        <w:rPr>
          <w:sz w:val="24"/>
          <w:szCs w:val="24"/>
        </w:rPr>
        <w:t>MWh (</w:t>
      </w:r>
      <w:r>
        <w:rPr>
          <w:sz w:val="24"/>
          <w:szCs w:val="24"/>
        </w:rPr>
        <w:t>1</w:t>
      </w:r>
      <w:r w:rsidRPr="00B45BD2">
        <w:rPr>
          <w:sz w:val="24"/>
          <w:szCs w:val="24"/>
        </w:rPr>
        <w:t xml:space="preserve"> conversor de </w:t>
      </w:r>
      <w:r>
        <w:rPr>
          <w:sz w:val="24"/>
          <w:szCs w:val="24"/>
        </w:rPr>
        <w:t>2,66</w:t>
      </w:r>
      <w:r w:rsidRPr="00B45BD2">
        <w:rPr>
          <w:sz w:val="24"/>
          <w:szCs w:val="24"/>
        </w:rPr>
        <w:t xml:space="preserve">MVA Sunny Central Storage UP </w:t>
      </w:r>
      <w:r>
        <w:rPr>
          <w:sz w:val="24"/>
          <w:szCs w:val="24"/>
        </w:rPr>
        <w:t>26</w:t>
      </w:r>
      <w:r w:rsidRPr="00B45BD2">
        <w:rPr>
          <w:sz w:val="24"/>
          <w:szCs w:val="24"/>
        </w:rPr>
        <w:t>60-S2).</w:t>
      </w:r>
      <w:r>
        <w:rPr>
          <w:sz w:val="24"/>
          <w:szCs w:val="24"/>
        </w:rPr>
        <w:t xml:space="preserve"> </w:t>
      </w:r>
    </w:p>
    <w:bookmarkEnd w:id="0"/>
    <w:p w14:paraId="3A90013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18C681D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Terceira</w:t>
      </w:r>
    </w:p>
    <w:p w14:paraId="4282EA0A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(Segurança)</w:t>
      </w:r>
    </w:p>
    <w:p w14:paraId="335962BE" w14:textId="77777777" w:rsidR="00266630" w:rsidRPr="00DE6315" w:rsidRDefault="00266630" w:rsidP="00266630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 xml:space="preserve">Produtor </w:t>
      </w:r>
      <w:r w:rsidRPr="00DE6315">
        <w:rPr>
          <w:rFonts w:cs="Calibri"/>
          <w:sz w:val="24"/>
          <w:szCs w:val="24"/>
        </w:rPr>
        <w:t>obriga-se a explorar e manter a unidade de produção nas adequadas condições de segurança, bem como:</w:t>
      </w:r>
    </w:p>
    <w:p w14:paraId="072DD61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comunicar à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qualquer anomalia que se verifique nas suas instalações ou no equipamento da rede recetora, em particular a </w:t>
      </w:r>
      <w:r w:rsidR="007440C0" w:rsidRPr="00DE6315">
        <w:rPr>
          <w:rFonts w:cs="Calibri"/>
          <w:sz w:val="24"/>
          <w:szCs w:val="24"/>
        </w:rPr>
        <w:t>rutura</w:t>
      </w:r>
      <w:r w:rsidRPr="00DE6315">
        <w:rPr>
          <w:rFonts w:cs="Calibri"/>
          <w:sz w:val="24"/>
          <w:szCs w:val="24"/>
        </w:rPr>
        <w:t xml:space="preserve"> de qualquer selo ou a violação de qualquer fecho ou fechadura, logo que dela tenha conhecimento;</w:t>
      </w:r>
    </w:p>
    <w:p w14:paraId="047AD34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garantir o isolamento da instalação, sempre que se verifique ausência de tensão na rede recetora, por atuação imediata e automática dos equipamentos de comando e proteção da instalação produtora.</w:t>
      </w:r>
    </w:p>
    <w:p w14:paraId="7707F0A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06A74648" w14:textId="77777777" w:rsidR="00DA310C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Quar</w:t>
      </w:r>
      <w:r w:rsidR="00F81882" w:rsidRPr="00DE6315">
        <w:rPr>
          <w:rFonts w:cs="Calibri"/>
          <w:b/>
          <w:sz w:val="24"/>
          <w:szCs w:val="24"/>
        </w:rPr>
        <w:t>ta</w:t>
      </w:r>
    </w:p>
    <w:p w14:paraId="5A3FD9F3" w14:textId="77777777" w:rsidR="00DA310C" w:rsidRPr="00DE6315" w:rsidRDefault="00A477A4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DA310C" w:rsidRPr="00DE6315">
        <w:rPr>
          <w:rFonts w:cs="Calibri"/>
          <w:b/>
          <w:sz w:val="24"/>
          <w:szCs w:val="24"/>
        </w:rPr>
        <w:t>Medição e leitura</w:t>
      </w:r>
      <w:r w:rsidRPr="00DE6315">
        <w:rPr>
          <w:rFonts w:cs="Calibri"/>
          <w:b/>
          <w:sz w:val="24"/>
          <w:szCs w:val="24"/>
        </w:rPr>
        <w:t>)</w:t>
      </w:r>
    </w:p>
    <w:p w14:paraId="5E99160B" w14:textId="77777777" w:rsidR="00261707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equipamentos de medição de energia elétrica e de comunicações, bem como os </w:t>
      </w:r>
      <w:r w:rsidR="007440C0" w:rsidRPr="00DE6315">
        <w:rPr>
          <w:rFonts w:cs="Calibri"/>
          <w:sz w:val="24"/>
          <w:szCs w:val="24"/>
        </w:rPr>
        <w:t>respetivos</w:t>
      </w:r>
      <w:r w:rsidRPr="00DE6315">
        <w:rPr>
          <w:rFonts w:cs="Calibri"/>
          <w:sz w:val="24"/>
          <w:szCs w:val="24"/>
        </w:rPr>
        <w:t xml:space="preserve"> acessórios, são fornecidos e instalados pel</w:t>
      </w:r>
      <w:r w:rsidR="00A477A4" w:rsidRPr="00DE6315">
        <w:rPr>
          <w:rFonts w:cs="Calibri"/>
          <w:sz w:val="24"/>
          <w:szCs w:val="24"/>
        </w:rPr>
        <w:t xml:space="preserve">o </w:t>
      </w:r>
      <w:r w:rsidR="00A477A4"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</w:t>
      </w:r>
      <w:r w:rsidR="00261707" w:rsidRPr="00DE6315">
        <w:rPr>
          <w:rFonts w:cs="Calibri"/>
          <w:sz w:val="24"/>
          <w:szCs w:val="24"/>
        </w:rPr>
        <w:t xml:space="preserve"> a expensas deste.</w:t>
      </w:r>
    </w:p>
    <w:p w14:paraId="31EF8AE0" w14:textId="77777777" w:rsidR="00DA310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caraterísticas e funcionalidades dos equipamentos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 xml:space="preserve"> e respetivos acessórios referidos no número anterior, devem cumprir escrupulosamente os termos, requisitos, pressupostos e demais orientações emitidas pela </w:t>
      </w:r>
      <w:r w:rsidRPr="00DE6315">
        <w:rPr>
          <w:rFonts w:cs="Calibri"/>
          <w:b/>
          <w:sz w:val="24"/>
          <w:szCs w:val="24"/>
        </w:rPr>
        <w:t>EDA,</w:t>
      </w:r>
      <w:r w:rsidRPr="00DE6315">
        <w:rPr>
          <w:rFonts w:cs="Calibri"/>
          <w:sz w:val="24"/>
          <w:szCs w:val="24"/>
        </w:rPr>
        <w:t xml:space="preserve"> de acordo com as disposições constantes do Guia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>, Leitura e Disponibilização de Dados, aprovado pela Entidade Reguladora do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Se</w:t>
      </w:r>
      <w:r w:rsidR="00CC2496" w:rsidRPr="00DE6315">
        <w:rPr>
          <w:rFonts w:cs="Calibri"/>
          <w:sz w:val="24"/>
          <w:szCs w:val="24"/>
        </w:rPr>
        <w:t>rviços</w:t>
      </w:r>
      <w:r w:rsidRPr="00DE6315">
        <w:rPr>
          <w:rFonts w:cs="Calibri"/>
          <w:sz w:val="24"/>
          <w:szCs w:val="24"/>
        </w:rPr>
        <w:t xml:space="preserve"> Energético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(ERSE), bem como apresentarem-se devidamente calibrados e selados</w:t>
      </w:r>
      <w:r w:rsidR="0097664C" w:rsidRPr="00DE6315">
        <w:rPr>
          <w:rFonts w:cs="Calibri"/>
          <w:sz w:val="24"/>
          <w:szCs w:val="24"/>
        </w:rPr>
        <w:t>.</w:t>
      </w:r>
    </w:p>
    <w:p w14:paraId="4DAF75E9" w14:textId="77777777" w:rsidR="0097664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Ambas as partes expressamente acordam que a</w:t>
      </w:r>
      <w:r w:rsidR="0097664C" w:rsidRPr="00DE6315">
        <w:rPr>
          <w:rFonts w:cs="Calibri"/>
          <w:sz w:val="24"/>
          <w:szCs w:val="24"/>
        </w:rPr>
        <w:t xml:space="preserve"> verificação de conformi</w:t>
      </w:r>
      <w:r w:rsidR="00A91361" w:rsidRPr="00DE6315">
        <w:rPr>
          <w:rFonts w:cs="Calibri"/>
          <w:sz w:val="24"/>
          <w:szCs w:val="24"/>
        </w:rPr>
        <w:t xml:space="preserve">dade </w:t>
      </w:r>
      <w:r w:rsidRPr="00DE6315">
        <w:rPr>
          <w:rFonts w:cs="Calibri"/>
          <w:sz w:val="24"/>
          <w:szCs w:val="24"/>
        </w:rPr>
        <w:t xml:space="preserve">e selagem </w:t>
      </w:r>
      <w:r w:rsidR="00A91361" w:rsidRPr="00DE6315">
        <w:rPr>
          <w:rFonts w:cs="Calibri"/>
          <w:sz w:val="24"/>
          <w:szCs w:val="24"/>
        </w:rPr>
        <w:t>dos equipamentos</w:t>
      </w:r>
      <w:r w:rsidR="0097664C" w:rsidRPr="00DE6315">
        <w:rPr>
          <w:rFonts w:cs="Calibri"/>
          <w:sz w:val="24"/>
          <w:szCs w:val="24"/>
        </w:rPr>
        <w:t xml:space="preserve"> de medição e respetivos acessórios, </w:t>
      </w:r>
      <w:r w:rsidRPr="00DE6315">
        <w:rPr>
          <w:rFonts w:cs="Calibri"/>
          <w:sz w:val="24"/>
          <w:szCs w:val="24"/>
        </w:rPr>
        <w:t>bem como o teste de comunicação</w:t>
      </w:r>
      <w:r w:rsidR="0097664C" w:rsidRPr="00DE6315">
        <w:rPr>
          <w:rFonts w:cs="Calibri"/>
          <w:sz w:val="24"/>
          <w:szCs w:val="24"/>
        </w:rPr>
        <w:t xml:space="preserve"> a efetuar pel</w:t>
      </w: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EDA,</w:t>
      </w:r>
      <w:r w:rsidR="0097664C" w:rsidRPr="00DE6315">
        <w:rPr>
          <w:rFonts w:cs="Calibri"/>
          <w:sz w:val="24"/>
          <w:szCs w:val="24"/>
        </w:rPr>
        <w:t xml:space="preserve"> são condições prévias </w:t>
      </w:r>
      <w:r w:rsidRPr="00DE6315">
        <w:rPr>
          <w:rFonts w:cs="Calibri"/>
          <w:sz w:val="24"/>
          <w:szCs w:val="24"/>
        </w:rPr>
        <w:t>para a</w:t>
      </w:r>
      <w:r w:rsidR="0097664C" w:rsidRPr="00DE6315">
        <w:rPr>
          <w:rFonts w:cs="Calibri"/>
          <w:sz w:val="24"/>
          <w:szCs w:val="24"/>
        </w:rPr>
        <w:t xml:space="preserve"> ligação da </w:t>
      </w:r>
      <w:r w:rsidRPr="00DE6315">
        <w:rPr>
          <w:rFonts w:cs="Calibri"/>
          <w:sz w:val="24"/>
          <w:szCs w:val="24"/>
        </w:rPr>
        <w:t>unidade de produção à rede rece</w:t>
      </w:r>
      <w:r w:rsidR="0097664C" w:rsidRPr="00DE6315">
        <w:rPr>
          <w:rFonts w:cs="Calibri"/>
          <w:sz w:val="24"/>
          <w:szCs w:val="24"/>
        </w:rPr>
        <w:t>tora.</w:t>
      </w:r>
    </w:p>
    <w:p w14:paraId="5F4B50DF" w14:textId="77777777" w:rsidR="0097664C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Os equipamentos de medição estão sujeitos a verificação periódica nos termos e com a periodicidade estabelecidas no Guia de Medição, Leitura e Disponibilização de Dados e na legislação em vigor</w:t>
      </w:r>
      <w:r w:rsidR="00394731" w:rsidRPr="00DE6315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>sobre</w:t>
      </w:r>
      <w:r w:rsidR="00687317" w:rsidRPr="00DE6315">
        <w:rPr>
          <w:rFonts w:cs="Calibri"/>
          <w:sz w:val="24"/>
          <w:szCs w:val="24"/>
        </w:rPr>
        <w:t xml:space="preserve"> o</w:t>
      </w:r>
      <w:r w:rsidRPr="00DE6315">
        <w:rPr>
          <w:rFonts w:cs="Calibri"/>
          <w:sz w:val="24"/>
          <w:szCs w:val="24"/>
        </w:rPr>
        <w:t xml:space="preserve"> controlo metrológico, podendo igualmente ser sujeitos a verificações extraordinárias, sempre que o </w:t>
      </w:r>
      <w:r w:rsidRPr="00DE6315">
        <w:rPr>
          <w:rFonts w:cs="Calibri"/>
          <w:b/>
          <w:sz w:val="24"/>
          <w:szCs w:val="24"/>
        </w:rPr>
        <w:t>P</w:t>
      </w:r>
      <w:r w:rsidR="009D2DE1" w:rsidRPr="00DE6315">
        <w:rPr>
          <w:rFonts w:cs="Calibri"/>
          <w:b/>
          <w:sz w:val="24"/>
          <w:szCs w:val="24"/>
        </w:rPr>
        <w:t>r</w:t>
      </w:r>
      <w:r w:rsidRPr="00DE6315">
        <w:rPr>
          <w:rFonts w:cs="Calibri"/>
          <w:b/>
          <w:sz w:val="24"/>
          <w:szCs w:val="24"/>
        </w:rPr>
        <w:t>odutor</w:t>
      </w:r>
      <w:r w:rsidRPr="00DE6315">
        <w:rPr>
          <w:rFonts w:cs="Calibri"/>
          <w:sz w:val="24"/>
          <w:szCs w:val="24"/>
        </w:rPr>
        <w:t xml:space="preserve">, ou a </w:t>
      </w:r>
      <w:r w:rsidRPr="00DE6315">
        <w:rPr>
          <w:rFonts w:cs="Calibri"/>
          <w:b/>
          <w:sz w:val="24"/>
          <w:szCs w:val="24"/>
        </w:rPr>
        <w:t>EDA</w:t>
      </w:r>
      <w:r w:rsidR="001F5583" w:rsidRPr="00DE6315">
        <w:rPr>
          <w:rFonts w:cs="Calibri"/>
          <w:sz w:val="24"/>
          <w:szCs w:val="24"/>
        </w:rPr>
        <w:t xml:space="preserve">, </w:t>
      </w:r>
      <w:r w:rsidRPr="00DE6315">
        <w:rPr>
          <w:rFonts w:cs="Calibri"/>
          <w:sz w:val="24"/>
          <w:szCs w:val="24"/>
        </w:rPr>
        <w:t>suspeitem</w:t>
      </w:r>
      <w:r w:rsidR="009D2DE1" w:rsidRPr="00DE6315">
        <w:rPr>
          <w:rFonts w:cs="Calibri"/>
          <w:sz w:val="24"/>
          <w:szCs w:val="24"/>
        </w:rPr>
        <w:t xml:space="preserve"> ou detetem defeito no seu funcionamento.</w:t>
      </w:r>
    </w:p>
    <w:p w14:paraId="676A640F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responsável pela manutenção em bom estado de funcionamento dos equipamentos de medição, incluindo o sistema de transmissão de informação para efeitos de telecontagem.</w:t>
      </w:r>
    </w:p>
    <w:p w14:paraId="778D869C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No caso de mau funcionamento dos equipamentos de medição ou de comun</w:t>
      </w:r>
      <w:r w:rsidR="006779C0" w:rsidRPr="00DE6315">
        <w:rPr>
          <w:rFonts w:cs="Calibri"/>
          <w:sz w:val="24"/>
          <w:szCs w:val="24"/>
        </w:rPr>
        <w:t>icação</w:t>
      </w:r>
      <w:r w:rsidR="00687317" w:rsidRPr="00DE6315">
        <w:rPr>
          <w:rFonts w:cs="Calibri"/>
          <w:sz w:val="24"/>
          <w:szCs w:val="24"/>
        </w:rPr>
        <w:t>,</w:t>
      </w:r>
      <w:r w:rsidR="006779C0" w:rsidRPr="00DE6315">
        <w:rPr>
          <w:rFonts w:cs="Calibri"/>
          <w:sz w:val="24"/>
          <w:szCs w:val="24"/>
        </w:rPr>
        <w:t xml:space="preserve"> que inviabilizem a respe</w:t>
      </w:r>
      <w:r w:rsidRPr="00DE6315">
        <w:rPr>
          <w:rFonts w:cs="Calibri"/>
          <w:sz w:val="24"/>
          <w:szCs w:val="24"/>
        </w:rPr>
        <w:t xml:space="preserve">tiva leitura remota e o apuramento da energia produzida,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não efetuará o pagamento enquanto os equipamentos </w:t>
      </w:r>
      <w:r w:rsidR="006779C0" w:rsidRPr="00DE6315">
        <w:rPr>
          <w:rFonts w:cs="Calibri"/>
          <w:sz w:val="24"/>
          <w:szCs w:val="24"/>
        </w:rPr>
        <w:t>não estiverem a funcionar corre</w:t>
      </w:r>
      <w:r w:rsidRPr="00DE6315">
        <w:rPr>
          <w:rFonts w:cs="Calibri"/>
          <w:sz w:val="24"/>
          <w:szCs w:val="24"/>
        </w:rPr>
        <w:t>tamente.</w:t>
      </w:r>
    </w:p>
    <w:p w14:paraId="0B7215D9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reparações de anomalias dos equipamentos de medição ou de comunicação que impossibilitem a leitura remota devem se previamente coordenadas pelo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com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.</w:t>
      </w:r>
    </w:p>
    <w:p w14:paraId="32BCCD05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é a entidade responsável pela confirmação da leitura dos equipamentos de medição.</w:t>
      </w:r>
    </w:p>
    <w:p w14:paraId="10121295" w14:textId="77777777" w:rsidR="00571068" w:rsidRPr="0070591C" w:rsidRDefault="008E2F0E" w:rsidP="0070591C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 xml:space="preserve">A </w:t>
      </w:r>
      <w:r w:rsidR="0070591C">
        <w:rPr>
          <w:rFonts w:cs="Calibri"/>
          <w:sz w:val="24"/>
          <w:szCs w:val="24"/>
        </w:rPr>
        <w:t>solução de comunicações a considerar deverá ser fibra ótica</w:t>
      </w:r>
      <w:r w:rsidR="00702CE7">
        <w:rPr>
          <w:rFonts w:cs="Calibri"/>
          <w:sz w:val="24"/>
          <w:szCs w:val="24"/>
        </w:rPr>
        <w:t>.</w:t>
      </w:r>
    </w:p>
    <w:p w14:paraId="205FA8D6" w14:textId="77777777" w:rsidR="00F81882" w:rsidRPr="00DE6315" w:rsidRDefault="006779C0" w:rsidP="008159C5">
      <w:pPr>
        <w:pStyle w:val="ListParagraph"/>
        <w:numPr>
          <w:ilvl w:val="0"/>
          <w:numId w:val="5"/>
        </w:numPr>
        <w:ind w:left="425" w:hanging="425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Sem prejuízo do disposto nos números anteriores, ambas as partes acordam que em caso de indisponibilidade da rede de comunicações, deve-se optar pela utilização da rede fixa.</w:t>
      </w:r>
      <w:r w:rsidR="00702CE7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 xml:space="preserve">Caso esta se revele indisponível, a avaliação da solução técnica e economicamente vantajosa será efetuada pela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, que, a pedido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facultará a este todas as informações necessárias para f</w:t>
      </w:r>
      <w:r w:rsidR="00944EDE" w:rsidRPr="00DE6315">
        <w:rPr>
          <w:rFonts w:cs="Calibri"/>
          <w:sz w:val="24"/>
          <w:szCs w:val="24"/>
        </w:rPr>
        <w:t>undamentar a referida avaliação.</w:t>
      </w:r>
    </w:p>
    <w:p w14:paraId="10DCD0E5" w14:textId="77777777" w:rsidR="00266630" w:rsidRPr="00DE6315" w:rsidRDefault="00266630" w:rsidP="005A523B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Todos os parâmetros de funcionamento da Central Produtora de Energia</w:t>
      </w:r>
      <w:r w:rsidR="005A523B" w:rsidRPr="0070591C">
        <w:rPr>
          <w:rFonts w:cs="Calibri"/>
          <w:sz w:val="24"/>
          <w:szCs w:val="24"/>
        </w:rPr>
        <w:t xml:space="preserve"> </w:t>
      </w:r>
      <w:r w:rsidRPr="0070591C">
        <w:rPr>
          <w:rFonts w:cs="Calibri"/>
          <w:sz w:val="24"/>
          <w:szCs w:val="24"/>
        </w:rPr>
        <w:t>deverão ser integrados no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sistema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de comando e controlo</w:t>
      </w:r>
      <w:r w:rsidR="0070591C" w:rsidRPr="0070591C">
        <w:rPr>
          <w:rFonts w:cs="Calibri"/>
          <w:sz w:val="24"/>
          <w:szCs w:val="24"/>
        </w:rPr>
        <w:t xml:space="preserve"> e de gestão da energia da EDA.</w:t>
      </w:r>
    </w:p>
    <w:p w14:paraId="024688AF" w14:textId="77777777" w:rsidR="00A5078F" w:rsidRPr="00DE631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F64A7C" w14:textId="77777777" w:rsidR="001C028E" w:rsidRPr="00DE6315" w:rsidRDefault="00CF6119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Quinta</w:t>
      </w:r>
    </w:p>
    <w:p w14:paraId="119457A3" w14:textId="77777777" w:rsidR="006D2728" w:rsidRPr="00DE6315" w:rsidRDefault="00266630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(Faturação e Condições de Pagamento</w:t>
      </w:r>
      <w:r w:rsidR="00B7488B" w:rsidRPr="00DE6315">
        <w:rPr>
          <w:rFonts w:cs="Calibri"/>
          <w:b/>
          <w:sz w:val="24"/>
          <w:szCs w:val="24"/>
        </w:rPr>
        <w:t>)</w:t>
      </w:r>
    </w:p>
    <w:p w14:paraId="02F2B181" w14:textId="77777777" w:rsidR="00255A44" w:rsidRPr="00DE6315" w:rsidRDefault="007D4270" w:rsidP="00E65BC3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Pr="00DE6315">
        <w:rPr>
          <w:rFonts w:cs="Calibri"/>
          <w:sz w:val="24"/>
          <w:szCs w:val="24"/>
        </w:rPr>
        <w:t xml:space="preserve">faturação relativa à eletricidade fornecida à rede será processada pelo </w:t>
      </w:r>
      <w:r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com periodicidade mensal, efetuando-se os pagamentos no prazo de 30 dias após receção das faturas, que deverão discriminar as quantidades em kWh e o intervalo de tempo (data e hora do início e fim), a que diz respeito cada fornecimento.</w:t>
      </w:r>
    </w:p>
    <w:p w14:paraId="25D99994" w14:textId="458AF6B6" w:rsidR="00FC3D27" w:rsidRPr="00FC3D27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Ambas as partes expressamente acordam </w:t>
      </w:r>
      <w:r w:rsidR="00D51F01">
        <w:rPr>
          <w:rFonts w:eastAsia="Times New Roman" w:cs="Calibri"/>
          <w:color w:val="000000"/>
          <w:sz w:val="24"/>
          <w:szCs w:val="24"/>
          <w:lang w:eastAsia="pt-PT"/>
        </w:rPr>
        <w:t>n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tarifa de venda </w:t>
      </w:r>
      <w:r w:rsidR="000D4BD6">
        <w:rPr>
          <w:rFonts w:eastAsia="Times New Roman" w:cs="Calibri"/>
          <w:color w:val="000000"/>
          <w:sz w:val="24"/>
          <w:szCs w:val="24"/>
          <w:lang w:eastAsia="pt-PT"/>
        </w:rPr>
        <w:t xml:space="preserve">da eletricidade fornecida à rede pelo </w:t>
      </w:r>
      <w:r w:rsidR="000D4BD6">
        <w:rPr>
          <w:rFonts w:eastAsia="Times New Roman" w:cs="Calibri"/>
          <w:b/>
          <w:color w:val="000000"/>
          <w:sz w:val="24"/>
          <w:szCs w:val="24"/>
          <w:lang w:eastAsia="pt-PT"/>
        </w:rPr>
        <w:t xml:space="preserve">Produtor 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de </w:t>
      </w:r>
      <w:r w:rsidR="00DD68BC">
        <w:rPr>
          <w:rFonts w:eastAsia="Times New Roman" w:cs="Calibri"/>
          <w:color w:val="000000"/>
          <w:sz w:val="24"/>
          <w:szCs w:val="24"/>
          <w:lang w:eastAsia="pt-PT"/>
        </w:rPr>
        <w:t>19,</w:t>
      </w:r>
      <w:r w:rsidR="002F0F3B">
        <w:rPr>
          <w:rFonts w:eastAsia="Times New Roman" w:cs="Calibri"/>
          <w:color w:val="000000"/>
          <w:sz w:val="24"/>
          <w:szCs w:val="24"/>
          <w:lang w:eastAsia="pt-PT"/>
        </w:rPr>
        <w:t>6</w:t>
      </w:r>
      <w:r w:rsidR="007E0A7F">
        <w:rPr>
          <w:rFonts w:eastAsia="Times New Roman" w:cs="Calibri"/>
          <w:color w:val="000000"/>
          <w:sz w:val="24"/>
          <w:szCs w:val="24"/>
          <w:lang w:eastAsia="pt-PT"/>
        </w:rPr>
        <w:t xml:space="preserve">73 </w:t>
      </w:r>
      <w:r w:rsidR="0028097E" w:rsidRPr="00E37B45">
        <w:rPr>
          <w:rFonts w:cs="Calibri"/>
          <w:sz w:val="24"/>
          <w:szCs w:val="24"/>
        </w:rPr>
        <w:t>cêntimos de euros por kWh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  <w:r w:rsidR="00D51F01">
        <w:rPr>
          <w:rFonts w:cs="Calibri"/>
          <w:sz w:val="24"/>
          <w:szCs w:val="24"/>
        </w:rPr>
        <w:t>, sujeita a um ajustamento anual</w:t>
      </w:r>
      <w:r w:rsidR="006442E3">
        <w:rPr>
          <w:rFonts w:cs="Calibri"/>
          <w:sz w:val="24"/>
          <w:szCs w:val="24"/>
        </w:rPr>
        <w:t xml:space="preserve"> </w:t>
      </w:r>
      <w:r w:rsidR="006442E3" w:rsidRPr="006442E3">
        <w:rPr>
          <w:rFonts w:cs="Calibri"/>
          <w:sz w:val="24"/>
          <w:szCs w:val="24"/>
        </w:rPr>
        <w:t xml:space="preserve">à taxa de inflação com base no aumento </w:t>
      </w:r>
      <w:r w:rsidR="009817E1">
        <w:rPr>
          <w:rFonts w:cs="Calibri"/>
          <w:sz w:val="24"/>
          <w:szCs w:val="24"/>
        </w:rPr>
        <w:t xml:space="preserve">ou na diminuição </w:t>
      </w:r>
      <w:r w:rsidR="006442E3" w:rsidRPr="006442E3">
        <w:rPr>
          <w:rFonts w:cs="Calibri"/>
          <w:sz w:val="24"/>
          <w:szCs w:val="24"/>
        </w:rPr>
        <w:t>do IPC para a Região Autónoma dos Açores (ou para Portugal, na ausência de um índice Regional)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.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</w:p>
    <w:p w14:paraId="3B6229E6" w14:textId="7A9DA693" w:rsidR="00D51F01" w:rsidRPr="00D97011" w:rsidRDefault="00D51F01" w:rsidP="00D97011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>
        <w:rPr>
          <w:rFonts w:eastAsia="Times New Roman" w:cs="Calibri"/>
          <w:color w:val="000000"/>
          <w:sz w:val="24"/>
          <w:szCs w:val="24"/>
          <w:lang w:eastAsia="pt-PT"/>
        </w:rPr>
        <w:t xml:space="preserve">A tarifa de venda referida no número anterior vigorará pelo período de </w:t>
      </w:r>
      <w:r w:rsidR="0030163C">
        <w:rPr>
          <w:rFonts w:eastAsia="Times New Roman" w:cs="Calibri"/>
          <w:color w:val="000000"/>
          <w:sz w:val="24"/>
          <w:szCs w:val="24"/>
          <w:lang w:eastAsia="pt-PT"/>
        </w:rPr>
        <w:t>20</w:t>
      </w:r>
      <w:r w:rsidR="00D43D23">
        <w:rPr>
          <w:rFonts w:eastAsia="Times New Roman" w:cs="Calibri"/>
          <w:color w:val="000000"/>
          <w:sz w:val="24"/>
          <w:szCs w:val="24"/>
          <w:lang w:eastAsia="pt-PT"/>
        </w:rPr>
        <w:t xml:space="preserve"> (</w:t>
      </w:r>
      <w:r w:rsidR="0030163C">
        <w:rPr>
          <w:rFonts w:eastAsia="Times New Roman" w:cs="Calibri"/>
          <w:color w:val="000000"/>
          <w:sz w:val="24"/>
          <w:szCs w:val="24"/>
          <w:lang w:eastAsia="pt-PT"/>
        </w:rPr>
        <w:t>vin</w:t>
      </w:r>
      <w:r w:rsidR="00D97011" w:rsidRPr="00D97011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="00D43D23" w:rsidRPr="00D97011">
        <w:rPr>
          <w:rFonts w:eastAsia="Times New Roman" w:cs="Calibri"/>
          <w:color w:val="000000"/>
          <w:sz w:val="24"/>
          <w:szCs w:val="24"/>
          <w:lang w:eastAsia="pt-PT"/>
        </w:rPr>
        <w:t>) anos</w:t>
      </w:r>
      <w:r w:rsidRPr="00D97011">
        <w:rPr>
          <w:rFonts w:eastAsia="Times New Roman" w:cs="Calibri"/>
          <w:color w:val="000000"/>
          <w:sz w:val="24"/>
          <w:szCs w:val="24"/>
          <w:lang w:eastAsia="pt-PT"/>
        </w:rPr>
        <w:t xml:space="preserve">, salvo nos casos de cessação do contrato nas </w:t>
      </w:r>
      <w:r w:rsidRPr="00D97011">
        <w:rPr>
          <w:rFonts w:cs="Calibri"/>
          <w:sz w:val="24"/>
          <w:szCs w:val="24"/>
        </w:rPr>
        <w:t>condições previstas no presente clausulado.</w:t>
      </w:r>
    </w:p>
    <w:p w14:paraId="45E5A97C" w14:textId="1B12CD7E" w:rsidR="007D4270" w:rsidRPr="0028097E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lastRenderedPageBreak/>
        <w:t xml:space="preserve">O </w:t>
      </w:r>
      <w:r w:rsidRPr="0028097E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declara que se encontra enquadrado, para efeitos de IVA, no regime normal de tributação, pelo que o cumprimento das obrigações de liquidação e entrega do imposto (IVA)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relativamente às transmissões de eletricidade que venham a derivar da produção de energia elétrica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é da sua inteira responsabilidade.</w:t>
      </w:r>
    </w:p>
    <w:p w14:paraId="16A3CF51" w14:textId="77777777" w:rsidR="007D4270" w:rsidRPr="00DE6315" w:rsidRDefault="007D4270" w:rsidP="0065402E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O pagamento referido no número anterior será efetuado por débito direto, em conta bancária a indicar pelo </w:t>
      </w:r>
      <w:r w:rsidRPr="00DE631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Produtor.</w:t>
      </w:r>
    </w:p>
    <w:p w14:paraId="25552507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E7A45C6" w14:textId="77777777" w:rsidR="006D2728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Sexta</w:t>
      </w:r>
    </w:p>
    <w:p w14:paraId="43D39AAA" w14:textId="77777777" w:rsidR="00F06599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(Custos Emergentes)</w:t>
      </w:r>
    </w:p>
    <w:p w14:paraId="27E14E84" w14:textId="77777777" w:rsidR="00F06599" w:rsidRPr="00DE6315" w:rsidRDefault="00F06599" w:rsidP="00264D3D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Pelo presente contrato, </w:t>
      </w:r>
      <w:r w:rsidR="00F81882" w:rsidRPr="00DE6315">
        <w:rPr>
          <w:rFonts w:cs="Calibri"/>
          <w:sz w:val="24"/>
          <w:szCs w:val="24"/>
        </w:rPr>
        <w:t xml:space="preserve">o </w:t>
      </w:r>
      <w:r w:rsidR="00933E0F"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exclusivamente responsável pelos custos e encargos resultantes da sua ligação à rede pública, designadamente o custo de investimento em equipamento que se revele necessário para limitar as perturbações introduzidas na qualidade da energia elétrica.</w:t>
      </w:r>
    </w:p>
    <w:p w14:paraId="098DE0D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sz w:val="24"/>
          <w:szCs w:val="24"/>
        </w:rPr>
      </w:pPr>
    </w:p>
    <w:p w14:paraId="22F85FFE" w14:textId="77777777" w:rsidR="006D2728" w:rsidRPr="00DE6315" w:rsidRDefault="00A91361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 xml:space="preserve">Cláusula </w:t>
      </w:r>
      <w:r w:rsidR="00D916B6" w:rsidRPr="00DE6315">
        <w:rPr>
          <w:rFonts w:cs="Calibri"/>
          <w:b/>
          <w:sz w:val="24"/>
          <w:szCs w:val="24"/>
        </w:rPr>
        <w:t>Sétima</w:t>
      </w:r>
    </w:p>
    <w:p w14:paraId="2D8767B8" w14:textId="77777777" w:rsidR="006D2728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Interrupção da ligação</w:t>
      </w:r>
      <w:r w:rsidRPr="00DE6315">
        <w:rPr>
          <w:rFonts w:cs="Calibri"/>
          <w:b/>
          <w:sz w:val="24"/>
          <w:szCs w:val="24"/>
        </w:rPr>
        <w:t>)</w:t>
      </w:r>
    </w:p>
    <w:p w14:paraId="3EA2CC85" w14:textId="77777777" w:rsidR="006D2728" w:rsidRPr="00DE6315" w:rsidRDefault="00E93344" w:rsidP="00C35EB2">
      <w:pPr>
        <w:ind w:left="142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1. </w:t>
      </w:r>
      <w:r w:rsidR="006D2728" w:rsidRPr="00DE6315">
        <w:rPr>
          <w:rFonts w:cs="Calibri"/>
          <w:sz w:val="24"/>
          <w:szCs w:val="24"/>
        </w:rPr>
        <w:t xml:space="preserve">A ligação da instalação de produção poderá ser interrompida por razões de segurança ou por facto imputável ao </w:t>
      </w:r>
      <w:r w:rsidR="006D2728" w:rsidRPr="00DE6315">
        <w:rPr>
          <w:rFonts w:cs="Calibri"/>
          <w:b/>
          <w:sz w:val="24"/>
          <w:szCs w:val="24"/>
        </w:rPr>
        <w:t>Produtor</w:t>
      </w:r>
      <w:r w:rsidR="00933E0F" w:rsidRPr="00DE6315">
        <w:rPr>
          <w:rFonts w:cs="Calibri"/>
          <w:b/>
          <w:sz w:val="24"/>
          <w:szCs w:val="24"/>
        </w:rPr>
        <w:t>,</w:t>
      </w:r>
      <w:r w:rsidR="006D2728" w:rsidRPr="00DE6315">
        <w:rPr>
          <w:rFonts w:cs="Calibri"/>
          <w:sz w:val="24"/>
          <w:szCs w:val="24"/>
        </w:rPr>
        <w:t xml:space="preserve"> nos termos da legislação e regulamentação aplicáveis, nomeadamente nas seguintes situações:</w:t>
      </w:r>
    </w:p>
    <w:p w14:paraId="068CD98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vontade expressa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;</w:t>
      </w:r>
    </w:p>
    <w:p w14:paraId="64817691" w14:textId="77777777" w:rsidR="006D2728" w:rsidRPr="00DE6315" w:rsidRDefault="00B867F3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Quando tal for considerado imprescindível</w:t>
      </w:r>
      <w:r w:rsidR="00A91361" w:rsidRPr="00DE6315">
        <w:rPr>
          <w:rFonts w:cs="Calibri"/>
          <w:sz w:val="24"/>
          <w:szCs w:val="24"/>
        </w:rPr>
        <w:t xml:space="preserve"> pela </w:t>
      </w:r>
      <w:r w:rsidR="00A91361"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, por razões de segurança na exploração da rede</w:t>
      </w:r>
      <w:r w:rsidR="00CF6208">
        <w:rPr>
          <w:rFonts w:cs="Calibri"/>
          <w:sz w:val="24"/>
          <w:szCs w:val="24"/>
        </w:rPr>
        <w:t>;</w:t>
      </w:r>
    </w:p>
    <w:p w14:paraId="55AE7BCE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Impedimento de acesso aos equipamentos de medição;</w:t>
      </w:r>
    </w:p>
    <w:p w14:paraId="21D07397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unidade de produção cause perturbações que </w:t>
      </w:r>
      <w:r w:rsidR="007F4C7B" w:rsidRPr="00DE6315">
        <w:rPr>
          <w:rFonts w:cs="Calibri"/>
          <w:sz w:val="24"/>
          <w:szCs w:val="24"/>
        </w:rPr>
        <w:t>afetem</w:t>
      </w:r>
      <w:r w:rsidRPr="00DE6315">
        <w:rPr>
          <w:rFonts w:cs="Calibri"/>
          <w:sz w:val="24"/>
          <w:szCs w:val="24"/>
        </w:rPr>
        <w:t xml:space="preserve"> a qualidade técnica do fornecimento de energia a consumidores ligados à rede </w:t>
      </w:r>
      <w:r w:rsidR="007F4C7B" w:rsidRPr="00DE6315">
        <w:rPr>
          <w:rFonts w:cs="Calibri"/>
          <w:sz w:val="24"/>
          <w:szCs w:val="24"/>
        </w:rPr>
        <w:t>recetora</w:t>
      </w:r>
      <w:r w:rsidRPr="00DE6315">
        <w:rPr>
          <w:rFonts w:cs="Calibri"/>
          <w:sz w:val="24"/>
          <w:szCs w:val="24"/>
        </w:rPr>
        <w:t>;</w:t>
      </w:r>
    </w:p>
    <w:p w14:paraId="54EF34F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Incumprimento das disposições legais e regulamentares relativas às instalações </w:t>
      </w:r>
      <w:r w:rsidR="007F4C7B" w:rsidRPr="00DE6315">
        <w:rPr>
          <w:rFonts w:cs="Calibri"/>
          <w:sz w:val="24"/>
          <w:szCs w:val="24"/>
        </w:rPr>
        <w:t>elétricas</w:t>
      </w:r>
      <w:r w:rsidRPr="00DE6315">
        <w:rPr>
          <w:rFonts w:cs="Calibri"/>
          <w:sz w:val="24"/>
          <w:szCs w:val="24"/>
        </w:rPr>
        <w:t xml:space="preserve"> no que respeita a segurança de pessoas e bens;</w:t>
      </w:r>
    </w:p>
    <w:p w14:paraId="77CF7151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Suspensão da licença de exploração da unidade de produção.</w:t>
      </w:r>
    </w:p>
    <w:p w14:paraId="6C3B3A37" w14:textId="77777777" w:rsidR="00933E0F" w:rsidRPr="00DE6315" w:rsidRDefault="00933E0F" w:rsidP="00933E0F">
      <w:pPr>
        <w:ind w:left="426" w:right="-1"/>
        <w:contextualSpacing/>
        <w:jc w:val="both"/>
        <w:rPr>
          <w:rFonts w:cs="Calibri"/>
          <w:sz w:val="24"/>
          <w:szCs w:val="24"/>
        </w:rPr>
      </w:pPr>
    </w:p>
    <w:p w14:paraId="373551AF" w14:textId="77777777" w:rsidR="00E93344" w:rsidRPr="00DE6315" w:rsidRDefault="00E93344" w:rsidP="00C35EB2">
      <w:pPr>
        <w:ind w:left="6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2. </w:t>
      </w:r>
      <w:r w:rsidR="00F94608" w:rsidRPr="00DE6315">
        <w:rPr>
          <w:rFonts w:cs="Calibri"/>
          <w:sz w:val="24"/>
          <w:szCs w:val="24"/>
        </w:rPr>
        <w:t>Sem prejuízo do disposto no número anterior, a</w:t>
      </w:r>
      <w:r w:rsidR="00800BC4" w:rsidRPr="00DE6315">
        <w:rPr>
          <w:rFonts w:cs="Calibri"/>
          <w:sz w:val="24"/>
          <w:szCs w:val="24"/>
        </w:rPr>
        <w:t xml:space="preserve"> interrupção da ligação por facto imputável ao </w:t>
      </w:r>
      <w:r w:rsidR="00800BC4" w:rsidRPr="00DE6315">
        <w:rPr>
          <w:rFonts w:cs="Calibri"/>
          <w:b/>
          <w:sz w:val="24"/>
          <w:szCs w:val="24"/>
        </w:rPr>
        <w:t>Prod</w:t>
      </w:r>
      <w:r w:rsidR="00F94608" w:rsidRPr="00DE6315">
        <w:rPr>
          <w:rFonts w:cs="Calibri"/>
          <w:b/>
          <w:sz w:val="24"/>
          <w:szCs w:val="24"/>
        </w:rPr>
        <w:t>utor</w:t>
      </w:r>
      <w:r w:rsidR="00933E0F" w:rsidRPr="00DE6315">
        <w:rPr>
          <w:rFonts w:cs="Calibri"/>
          <w:b/>
          <w:sz w:val="24"/>
          <w:szCs w:val="24"/>
        </w:rPr>
        <w:t>,</w:t>
      </w:r>
      <w:r w:rsidR="00F94608" w:rsidRPr="00DE6315">
        <w:rPr>
          <w:rFonts w:cs="Calibri"/>
          <w:sz w:val="24"/>
          <w:szCs w:val="24"/>
        </w:rPr>
        <w:t xml:space="preserve"> em resultado de perturbações que afetem a qualidade técnica do fornecimento de energia e/ou pelo incumprimento das disposições legais, regulamentares e contratuais,</w:t>
      </w:r>
      <w:r w:rsidR="00800BC4" w:rsidRPr="00DE6315">
        <w:rPr>
          <w:rFonts w:cs="Calibri"/>
          <w:sz w:val="24"/>
          <w:szCs w:val="24"/>
        </w:rPr>
        <w:t xml:space="preserve"> este será responsável pelo eventual ressarcimento dos</w:t>
      </w:r>
      <w:r w:rsidR="00F94608" w:rsidRPr="00DE6315">
        <w:rPr>
          <w:rFonts w:cs="Calibri"/>
          <w:sz w:val="24"/>
          <w:szCs w:val="24"/>
        </w:rPr>
        <w:t xml:space="preserve"> prejuízos causados a terceiros</w:t>
      </w:r>
      <w:r w:rsidR="0023598A" w:rsidRPr="00DE6315">
        <w:rPr>
          <w:rFonts w:cs="Calibri"/>
          <w:sz w:val="24"/>
          <w:szCs w:val="24"/>
        </w:rPr>
        <w:t>, desde que com origem na sua instalação</w:t>
      </w:r>
      <w:r w:rsidR="00F94608" w:rsidRPr="00DE6315">
        <w:rPr>
          <w:rFonts w:cs="Calibri"/>
          <w:sz w:val="24"/>
          <w:szCs w:val="24"/>
        </w:rPr>
        <w:t>.</w:t>
      </w:r>
    </w:p>
    <w:p w14:paraId="138B6A3D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3023F93D" w14:textId="77777777" w:rsidR="00D97011" w:rsidRDefault="00D97011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775A75" w14:textId="68055893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lastRenderedPageBreak/>
        <w:t>Cláusula Oitava</w:t>
      </w:r>
    </w:p>
    <w:p w14:paraId="0BD63278" w14:textId="77777777" w:rsidR="006D2728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Cessação do contrato</w:t>
      </w:r>
      <w:r w:rsidRPr="00DE6315">
        <w:rPr>
          <w:rFonts w:cs="Calibri"/>
          <w:b/>
          <w:sz w:val="24"/>
          <w:szCs w:val="24"/>
        </w:rPr>
        <w:t>)</w:t>
      </w:r>
    </w:p>
    <w:p w14:paraId="335AD1A7" w14:textId="77777777" w:rsidR="006D2728" w:rsidRPr="00DE6315" w:rsidRDefault="006D2728" w:rsidP="00C35EB2">
      <w:p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cessação do presente contrato pode verificar-se:</w:t>
      </w:r>
    </w:p>
    <w:p w14:paraId="3E29C604" w14:textId="77777777" w:rsidR="006D2728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Por acordo entre as partes;</w:t>
      </w:r>
    </w:p>
    <w:p w14:paraId="639E52D4" w14:textId="77777777" w:rsidR="00473D11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cessação do certificado de exploração da unidade de </w:t>
      </w:r>
      <w:r w:rsidR="0023598A" w:rsidRPr="00DE6315">
        <w:rPr>
          <w:rFonts w:cs="Calibri"/>
          <w:sz w:val="24"/>
          <w:szCs w:val="24"/>
        </w:rPr>
        <w:t>produção</w:t>
      </w:r>
      <w:r w:rsidR="00473D11" w:rsidRPr="00DE6315">
        <w:rPr>
          <w:rFonts w:cs="Calibri"/>
          <w:sz w:val="24"/>
          <w:szCs w:val="24"/>
        </w:rPr>
        <w:t>;</w:t>
      </w:r>
    </w:p>
    <w:p w14:paraId="4BDC84E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5E27ADC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Nona</w:t>
      </w:r>
    </w:p>
    <w:p w14:paraId="3C9042EE" w14:textId="77777777" w:rsidR="00587841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Prazo e duração</w:t>
      </w:r>
      <w:r w:rsidRPr="00DE6315">
        <w:rPr>
          <w:rFonts w:cs="Calibri"/>
          <w:b/>
          <w:sz w:val="24"/>
          <w:szCs w:val="24"/>
        </w:rPr>
        <w:t>)</w:t>
      </w:r>
    </w:p>
    <w:p w14:paraId="05648BB7" w14:textId="168ED216" w:rsidR="00E058CF" w:rsidRPr="00DE6315" w:rsidRDefault="00E058CF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início de produção de efeitos do contrato de fornecimento de energia fica subordinado </w:t>
      </w:r>
      <w:r w:rsidR="000D4BD6">
        <w:rPr>
          <w:rFonts w:cs="Calibri"/>
          <w:sz w:val="24"/>
          <w:szCs w:val="24"/>
        </w:rPr>
        <w:t xml:space="preserve">(i) </w:t>
      </w:r>
      <w:r w:rsidR="000D4BD6" w:rsidRPr="00DE6315">
        <w:rPr>
          <w:rFonts w:cs="Calibri"/>
          <w:sz w:val="24"/>
          <w:szCs w:val="24"/>
        </w:rPr>
        <w:t>à</w:t>
      </w:r>
      <w:r w:rsidR="000D4BD6">
        <w:rPr>
          <w:rFonts w:cs="Calibri"/>
          <w:sz w:val="24"/>
          <w:szCs w:val="24"/>
        </w:rPr>
        <w:t xml:space="preserve"> aceitação pela </w:t>
      </w:r>
      <w:r w:rsidR="000D4BD6" w:rsidRPr="008C5751">
        <w:rPr>
          <w:rFonts w:eastAsia="Times New Roman" w:cs="Calibri"/>
          <w:color w:val="000000"/>
          <w:sz w:val="24"/>
          <w:szCs w:val="24"/>
          <w:lang w:eastAsia="pt-PT"/>
        </w:rPr>
        <w:t>ERSE - Entidade Reguladora dos Serviços Energéticos</w:t>
      </w:r>
      <w:r w:rsidR="000D4BD6">
        <w:rPr>
          <w:rFonts w:eastAsia="Times New Roman" w:cs="Calibri"/>
          <w:color w:val="000000"/>
          <w:sz w:val="24"/>
          <w:szCs w:val="24"/>
          <w:lang w:eastAsia="pt-PT"/>
        </w:rPr>
        <w:t xml:space="preserve"> da tarifa de venda da eletricidade estabelecida na Cláusula Quinta, número 3, </w:t>
      </w:r>
      <w:r w:rsidR="000D4BD6" w:rsidRPr="00CF6208">
        <w:rPr>
          <w:rFonts w:eastAsia="Times New Roman" w:cs="Calibri"/>
          <w:color w:val="000000"/>
          <w:sz w:val="24"/>
          <w:szCs w:val="24"/>
          <w:lang w:eastAsia="pt-PT"/>
        </w:rPr>
        <w:t xml:space="preserve">nos termos do disposto no artigo 129.º, </w:t>
      </w:r>
      <w:r w:rsidR="000D4BD6">
        <w:rPr>
          <w:rFonts w:eastAsia="Times New Roman" w:cs="Calibri"/>
          <w:color w:val="000000"/>
          <w:sz w:val="24"/>
          <w:szCs w:val="24"/>
          <w:lang w:eastAsia="pt-PT"/>
        </w:rPr>
        <w:t xml:space="preserve">n.ºs 3 a 5, </w:t>
      </w:r>
      <w:r w:rsidR="000D4BD6" w:rsidRPr="00CF6208">
        <w:rPr>
          <w:rFonts w:eastAsia="Times New Roman" w:cs="Calibri"/>
          <w:color w:val="000000"/>
          <w:sz w:val="24"/>
          <w:szCs w:val="24"/>
          <w:lang w:eastAsia="pt-PT"/>
        </w:rPr>
        <w:t>do Regulamento Tarifário do Setor Elétrico nº 828/2023, de 28 de julho</w:t>
      </w:r>
      <w:r w:rsidR="000D4BD6">
        <w:rPr>
          <w:rFonts w:eastAsia="Times New Roman" w:cs="Calibri"/>
          <w:color w:val="000000"/>
          <w:sz w:val="24"/>
          <w:szCs w:val="24"/>
          <w:lang w:eastAsia="pt-PT"/>
        </w:rPr>
        <w:t xml:space="preserve">, (ii) </w:t>
      </w:r>
      <w:r w:rsidRPr="00DE6315">
        <w:rPr>
          <w:rFonts w:cs="Calibri"/>
          <w:sz w:val="24"/>
          <w:szCs w:val="24"/>
        </w:rPr>
        <w:t xml:space="preserve">à obtenção da licença de produção de energia </w:t>
      </w:r>
      <w:r w:rsidR="00A5078F" w:rsidRPr="00DE6315">
        <w:rPr>
          <w:rFonts w:cs="Calibri"/>
          <w:sz w:val="24"/>
          <w:szCs w:val="24"/>
        </w:rPr>
        <w:t>elétrica</w:t>
      </w:r>
      <w:r w:rsidRPr="00DE6315">
        <w:rPr>
          <w:rFonts w:cs="Calibri"/>
          <w:sz w:val="24"/>
          <w:szCs w:val="24"/>
        </w:rPr>
        <w:t xml:space="preserve"> não vinculada ao serviço público e</w:t>
      </w:r>
      <w:r w:rsidR="000D4BD6">
        <w:rPr>
          <w:rFonts w:cs="Calibri"/>
          <w:sz w:val="24"/>
          <w:szCs w:val="24"/>
        </w:rPr>
        <w:t xml:space="preserve"> (iii)</w:t>
      </w:r>
      <w:r w:rsidRPr="00DE6315">
        <w:rPr>
          <w:rFonts w:cs="Calibri"/>
          <w:sz w:val="24"/>
          <w:szCs w:val="24"/>
        </w:rPr>
        <w:t xml:space="preserve"> da licença de exploração</w:t>
      </w:r>
      <w:r w:rsidR="0003439D" w:rsidRPr="00DE6315">
        <w:rPr>
          <w:rFonts w:cs="Calibri"/>
          <w:sz w:val="24"/>
          <w:szCs w:val="24"/>
        </w:rPr>
        <w:t>.</w:t>
      </w:r>
    </w:p>
    <w:p w14:paraId="7D50AA7E" w14:textId="3A39EDE9" w:rsidR="006D2728" w:rsidRPr="00DE6315" w:rsidRDefault="0003439D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Sem prejuízo do disposto no número anterior, o</w:t>
      </w:r>
      <w:r w:rsidR="006D2728" w:rsidRPr="00DE6315">
        <w:rPr>
          <w:rFonts w:cs="Calibri"/>
          <w:sz w:val="24"/>
          <w:szCs w:val="24"/>
        </w:rPr>
        <w:t xml:space="preserve"> presente contrato tem o seu início na data em que é celebrado e</w:t>
      </w:r>
      <w:r w:rsidR="000D4BD6" w:rsidRPr="000D4BD6">
        <w:rPr>
          <w:rFonts w:cs="Calibri"/>
          <w:sz w:val="24"/>
          <w:szCs w:val="24"/>
        </w:rPr>
        <w:t xml:space="preserve"> </w:t>
      </w:r>
      <w:r w:rsidR="000D4BD6">
        <w:rPr>
          <w:rFonts w:cs="Calibri"/>
          <w:sz w:val="24"/>
          <w:szCs w:val="24"/>
        </w:rPr>
        <w:t>a tarifa de venda de eletricidade estabelecida na Cláusula Quinta</w:t>
      </w:r>
      <w:r w:rsidR="006D2728" w:rsidRPr="00DE6315">
        <w:rPr>
          <w:rFonts w:cs="Calibri"/>
          <w:sz w:val="24"/>
          <w:szCs w:val="24"/>
        </w:rPr>
        <w:t xml:space="preserve"> produz efeitos </w:t>
      </w:r>
      <w:r w:rsidR="0023598A" w:rsidRPr="00DE6315">
        <w:rPr>
          <w:rFonts w:cs="Calibri"/>
          <w:sz w:val="24"/>
          <w:szCs w:val="24"/>
        </w:rPr>
        <w:t>a partir da data em que for efe</w:t>
      </w:r>
      <w:r w:rsidR="006D2728" w:rsidRPr="00DE6315">
        <w:rPr>
          <w:rFonts w:cs="Calibri"/>
          <w:sz w:val="24"/>
          <w:szCs w:val="24"/>
        </w:rPr>
        <w:t xml:space="preserve">tuada a ligação à rede pela </w:t>
      </w:r>
      <w:r w:rsidR="006D2728" w:rsidRPr="00DE6315">
        <w:rPr>
          <w:rFonts w:cs="Calibri"/>
          <w:b/>
          <w:sz w:val="24"/>
          <w:szCs w:val="24"/>
        </w:rPr>
        <w:t>EDA</w:t>
      </w:r>
      <w:r w:rsidR="006D2728" w:rsidRPr="00DE6315">
        <w:rPr>
          <w:rFonts w:cs="Calibri"/>
          <w:sz w:val="24"/>
          <w:szCs w:val="24"/>
        </w:rPr>
        <w:t xml:space="preserve">, que constará do </w:t>
      </w:r>
      <w:r w:rsidR="00E4472A" w:rsidRPr="00DE6315">
        <w:rPr>
          <w:rFonts w:cs="Calibri"/>
          <w:sz w:val="24"/>
          <w:szCs w:val="24"/>
        </w:rPr>
        <w:t xml:space="preserve">auto </w:t>
      </w:r>
      <w:r w:rsidR="006D2728" w:rsidRPr="00DE6315">
        <w:rPr>
          <w:rFonts w:cs="Calibri"/>
          <w:sz w:val="24"/>
          <w:szCs w:val="24"/>
        </w:rPr>
        <w:t>de ligação da instalação de produção à rede</w:t>
      </w:r>
      <w:r w:rsidR="007F4C7B">
        <w:rPr>
          <w:rFonts w:cs="Calibri"/>
          <w:sz w:val="24"/>
          <w:szCs w:val="24"/>
        </w:rPr>
        <w:t>.</w:t>
      </w:r>
      <w:r w:rsidR="006D2728" w:rsidRPr="00DE6315">
        <w:rPr>
          <w:rFonts w:cs="Calibri"/>
          <w:sz w:val="24"/>
          <w:szCs w:val="24"/>
        </w:rPr>
        <w:t xml:space="preserve"> </w:t>
      </w:r>
    </w:p>
    <w:p w14:paraId="1AA99AC3" w14:textId="79F26874" w:rsidR="006D2728" w:rsidRPr="00A03422" w:rsidRDefault="006D2728" w:rsidP="00A03422">
      <w:pPr>
        <w:numPr>
          <w:ilvl w:val="0"/>
          <w:numId w:val="11"/>
        </w:numPr>
        <w:ind w:left="426" w:right="-1"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cs="Calibri"/>
          <w:sz w:val="24"/>
          <w:szCs w:val="24"/>
        </w:rPr>
        <w:t>Este contrato vigora p</w:t>
      </w:r>
      <w:r w:rsidR="0023598A" w:rsidRPr="00DE6315">
        <w:rPr>
          <w:rFonts w:cs="Calibri"/>
          <w:sz w:val="24"/>
          <w:szCs w:val="24"/>
        </w:rPr>
        <w:t xml:space="preserve">elo prazo </w:t>
      </w:r>
      <w:r w:rsidR="00D51F01">
        <w:rPr>
          <w:rFonts w:cs="Calibri"/>
          <w:sz w:val="24"/>
          <w:szCs w:val="24"/>
        </w:rPr>
        <w:t xml:space="preserve">de </w:t>
      </w:r>
      <w:r w:rsidR="001C1240">
        <w:rPr>
          <w:rFonts w:eastAsia="Times New Roman" w:cs="Calibri"/>
          <w:color w:val="000000"/>
          <w:sz w:val="24"/>
          <w:szCs w:val="24"/>
          <w:lang w:eastAsia="pt-PT"/>
        </w:rPr>
        <w:t>20</w:t>
      </w:r>
      <w:r w:rsidR="00D43D23">
        <w:rPr>
          <w:rFonts w:eastAsia="Times New Roman" w:cs="Calibri"/>
          <w:color w:val="000000"/>
          <w:sz w:val="24"/>
          <w:szCs w:val="24"/>
          <w:lang w:eastAsia="pt-PT"/>
        </w:rPr>
        <w:t xml:space="preserve"> (</w:t>
      </w:r>
      <w:r w:rsidR="0030163C">
        <w:rPr>
          <w:rFonts w:eastAsia="Times New Roman" w:cs="Calibri"/>
          <w:color w:val="000000"/>
          <w:sz w:val="24"/>
          <w:szCs w:val="24"/>
          <w:lang w:eastAsia="pt-PT"/>
        </w:rPr>
        <w:t>vin</w:t>
      </w:r>
      <w:r w:rsidR="00A03422" w:rsidRPr="00A03422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="00D43D23" w:rsidRPr="00A03422">
        <w:rPr>
          <w:rFonts w:eastAsia="Times New Roman" w:cs="Calibri"/>
          <w:color w:val="000000"/>
          <w:sz w:val="24"/>
          <w:szCs w:val="24"/>
          <w:lang w:eastAsia="pt-PT"/>
        </w:rPr>
        <w:t>) anos</w:t>
      </w:r>
      <w:r w:rsidR="00AD6FEE" w:rsidRPr="00A03422">
        <w:rPr>
          <w:rFonts w:cs="Calibri"/>
          <w:sz w:val="24"/>
          <w:szCs w:val="24"/>
        </w:rPr>
        <w:t>,</w:t>
      </w:r>
      <w:r w:rsidR="00CF6208" w:rsidRPr="00A03422">
        <w:rPr>
          <w:rFonts w:cs="Calibri"/>
          <w:sz w:val="24"/>
          <w:szCs w:val="24"/>
        </w:rPr>
        <w:t xml:space="preserve"> </w:t>
      </w:r>
      <w:r w:rsidRPr="00A03422">
        <w:rPr>
          <w:rFonts w:cs="Calibri"/>
          <w:sz w:val="24"/>
          <w:szCs w:val="24"/>
        </w:rPr>
        <w:t>podend</w:t>
      </w:r>
      <w:r w:rsidR="00D916B6" w:rsidRPr="00A03422">
        <w:rPr>
          <w:rFonts w:cs="Calibri"/>
          <w:sz w:val="24"/>
          <w:szCs w:val="24"/>
        </w:rPr>
        <w:t>o ser cessado</w:t>
      </w:r>
      <w:r w:rsidRPr="00A03422">
        <w:rPr>
          <w:rFonts w:cs="Calibri"/>
          <w:sz w:val="24"/>
          <w:szCs w:val="24"/>
        </w:rPr>
        <w:t xml:space="preserve"> nas condições previstas no clausulado anterior</w:t>
      </w:r>
      <w:r w:rsidR="0023598A" w:rsidRPr="00A03422">
        <w:rPr>
          <w:rFonts w:cs="Calibri"/>
          <w:sz w:val="24"/>
          <w:szCs w:val="24"/>
        </w:rPr>
        <w:t xml:space="preserve"> e respetiva</w:t>
      </w:r>
      <w:r w:rsidR="00E93371" w:rsidRPr="00A03422">
        <w:rPr>
          <w:rFonts w:cs="Calibri"/>
          <w:sz w:val="24"/>
          <w:szCs w:val="24"/>
        </w:rPr>
        <w:t xml:space="preserve"> legislação aplicável.</w:t>
      </w:r>
    </w:p>
    <w:p w14:paraId="77A2EF65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0C6FD9D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</w:p>
    <w:p w14:paraId="2CFC36B2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(Resolução de Litígios)</w:t>
      </w:r>
    </w:p>
    <w:p w14:paraId="62CB0927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litígios de qualquer natureza que se levantarem entre as partes sobre a interpretação ou execução das disposições legais ou contratuais aplicáveis às suas relações, incluindo o incumprimento de obrigações, serão decididas por um tribunal arbitral, se as partes em litígio previamente assim acordar, ou, na falta desse acordo, o </w:t>
      </w:r>
      <w:r w:rsidRPr="00DE6315">
        <w:rPr>
          <w:rFonts w:cs="Calibri"/>
          <w:color w:val="000000"/>
          <w:sz w:val="24"/>
          <w:szCs w:val="24"/>
        </w:rPr>
        <w:t>Tribunal de Comarca de Ponta Delgada, com expressa exclusão de qualquer outro</w:t>
      </w:r>
      <w:r w:rsidRPr="00DE6315">
        <w:rPr>
          <w:rFonts w:cs="Calibri"/>
          <w:sz w:val="24"/>
          <w:szCs w:val="24"/>
        </w:rPr>
        <w:t>.</w:t>
      </w:r>
    </w:p>
    <w:p w14:paraId="428B94B0" w14:textId="77777777" w:rsidR="00A03422" w:rsidRDefault="00A0342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8217911" w14:textId="6D7527FA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  <w:r w:rsidR="00CF6208">
        <w:rPr>
          <w:rFonts w:cs="Calibri"/>
          <w:b/>
          <w:sz w:val="24"/>
          <w:szCs w:val="24"/>
        </w:rPr>
        <w:t xml:space="preserve"> Primeira</w:t>
      </w:r>
    </w:p>
    <w:p w14:paraId="672E601C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(Legislação Aplicável)</w:t>
      </w:r>
    </w:p>
    <w:p w14:paraId="7929F154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Em tudo o omisso aplicar-se-ão todas as disposições l</w:t>
      </w:r>
      <w:r w:rsidR="008502DA" w:rsidRPr="00DE6315">
        <w:rPr>
          <w:rFonts w:cs="Calibri"/>
          <w:sz w:val="24"/>
          <w:szCs w:val="24"/>
        </w:rPr>
        <w:t>egais e regulamentares em vigor.</w:t>
      </w:r>
    </w:p>
    <w:p w14:paraId="591C1794" w14:textId="77777777" w:rsidR="00587841" w:rsidRPr="00DE6315" w:rsidRDefault="006D2728" w:rsidP="008E73B4">
      <w:pPr>
        <w:ind w:left="360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O presente contrato é celebrado em dois exemplares, um para cada uma das partes, com outorga realizada em Ponta Delgada</w:t>
      </w:r>
      <w:r w:rsidRPr="00CD4CBC">
        <w:rPr>
          <w:rFonts w:cs="Calibri"/>
          <w:sz w:val="24"/>
          <w:szCs w:val="24"/>
        </w:rPr>
        <w:t>, a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___(</w:t>
      </w:r>
      <w:r w:rsidR="008E73B4" w:rsidRPr="00CD4CBC">
        <w:rPr>
          <w:rFonts w:cs="Calibri"/>
          <w:sz w:val="24"/>
          <w:szCs w:val="24"/>
        </w:rPr>
        <w:t>DIA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de</w:t>
      </w:r>
      <w:r w:rsidR="00CD4CBC">
        <w:rPr>
          <w:rFonts w:cs="Calibri"/>
          <w:sz w:val="24"/>
          <w:szCs w:val="24"/>
        </w:rPr>
        <w:t xml:space="preserve"> ______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MÊS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</w:t>
      </w:r>
      <w:r w:rsidR="006F573D" w:rsidRPr="00CD4CBC">
        <w:rPr>
          <w:rFonts w:cs="Calibri"/>
          <w:sz w:val="24"/>
          <w:szCs w:val="24"/>
        </w:rPr>
        <w:t>de</w:t>
      </w:r>
      <w:r w:rsidR="00CD4CBC">
        <w:rPr>
          <w:rFonts w:cs="Calibri"/>
          <w:sz w:val="24"/>
          <w:szCs w:val="24"/>
        </w:rPr>
        <w:t xml:space="preserve"> 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ANO</w:t>
      </w:r>
      <w:r w:rsidR="00CD4CBC">
        <w:rPr>
          <w:rFonts w:cs="Calibri"/>
          <w:sz w:val="24"/>
          <w:szCs w:val="24"/>
        </w:rPr>
        <w:t>)</w:t>
      </w:r>
      <w:r w:rsidR="004049E8" w:rsidRPr="00CD4CBC">
        <w:rPr>
          <w:rFonts w:cs="Calibri"/>
          <w:sz w:val="24"/>
          <w:szCs w:val="24"/>
        </w:rPr>
        <w:t>.</w:t>
      </w:r>
    </w:p>
    <w:p w14:paraId="25C1708B" w14:textId="77777777" w:rsidR="00571068" w:rsidRPr="00DE6315" w:rsidRDefault="00571068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09074DEE" w14:textId="2BAD47E7" w:rsidR="008502DA" w:rsidRPr="00DE6315" w:rsidRDefault="00CB072B" w:rsidP="006F573D">
      <w:pPr>
        <w:ind w:left="360" w:right="-1"/>
        <w:jc w:val="both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Pela</w:t>
      </w:r>
      <w:r w:rsidR="006D2728" w:rsidRPr="00DE6315">
        <w:rPr>
          <w:rFonts w:cs="Calibri"/>
          <w:b/>
          <w:sz w:val="24"/>
          <w:szCs w:val="24"/>
        </w:rPr>
        <w:t xml:space="preserve"> EDA</w:t>
      </w:r>
      <w:r w:rsidR="00FC4848" w:rsidRPr="00DE6315">
        <w:rPr>
          <w:rFonts w:cs="Calibri"/>
          <w:b/>
          <w:sz w:val="24"/>
          <w:szCs w:val="24"/>
        </w:rPr>
        <w:t>, Electricidade dos Açores, S.A</w:t>
      </w:r>
      <w:r w:rsidR="00C60671" w:rsidRPr="00DE6315">
        <w:rPr>
          <w:rFonts w:cs="Calibri"/>
          <w:b/>
          <w:sz w:val="24"/>
          <w:szCs w:val="24"/>
        </w:rPr>
        <w:t>.</w:t>
      </w:r>
      <w:r w:rsidR="00A03BE6">
        <w:rPr>
          <w:rFonts w:cs="Calibri"/>
          <w:b/>
          <w:sz w:val="24"/>
          <w:szCs w:val="24"/>
        </w:rPr>
        <w:t xml:space="preserve"> _________________________</w:t>
      </w:r>
    </w:p>
    <w:p w14:paraId="7845573C" w14:textId="77777777" w:rsidR="008E73B4" w:rsidRPr="00DE6315" w:rsidRDefault="008E73B4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5B8991F9" w14:textId="77777777" w:rsidR="00A03BE6" w:rsidRDefault="00A03BE6" w:rsidP="006F573D">
      <w:pPr>
        <w:ind w:left="360" w:right="-1"/>
        <w:jc w:val="both"/>
        <w:rPr>
          <w:rFonts w:cs="Calibri"/>
          <w:b/>
          <w:bCs/>
          <w:sz w:val="24"/>
          <w:szCs w:val="24"/>
        </w:rPr>
      </w:pPr>
    </w:p>
    <w:p w14:paraId="17308658" w14:textId="412A9F57" w:rsidR="008E73B4" w:rsidRDefault="00CD4CBC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Pela </w:t>
      </w:r>
      <w:r w:rsidR="008E73B4" w:rsidRPr="00CD4CBC">
        <w:rPr>
          <w:rFonts w:cs="Calibri"/>
          <w:b/>
          <w:bCs/>
          <w:sz w:val="24"/>
          <w:szCs w:val="24"/>
        </w:rPr>
        <w:t xml:space="preserve">(nome da empresa) </w:t>
      </w:r>
      <w:r>
        <w:rPr>
          <w:rFonts w:cs="Calibri"/>
          <w:b/>
          <w:bCs/>
          <w:sz w:val="24"/>
          <w:szCs w:val="24"/>
        </w:rPr>
        <w:t>_________________</w:t>
      </w:r>
      <w:r w:rsidR="00AF31A1" w:rsidRPr="00DE6315">
        <w:rPr>
          <w:rFonts w:cs="Calibri"/>
          <w:b/>
          <w:bCs/>
          <w:sz w:val="24"/>
          <w:szCs w:val="24"/>
        </w:rPr>
        <w:t xml:space="preserve"> </w:t>
      </w:r>
    </w:p>
    <w:p w14:paraId="5192C51F" w14:textId="3EBB93F3" w:rsidR="00FC7D73" w:rsidRPr="00DE6315" w:rsidRDefault="00FC7D73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 xml:space="preserve">Anton </w:t>
      </w:r>
      <w:r w:rsidR="00927E61">
        <w:rPr>
          <w:rFonts w:cs="Calibri"/>
          <w:b/>
          <w:bCs/>
          <w:sz w:val="24"/>
          <w:szCs w:val="24"/>
        </w:rPr>
        <w:t xml:space="preserve">Lothar </w:t>
      </w:r>
      <w:r>
        <w:rPr>
          <w:rFonts w:cs="Calibri"/>
          <w:b/>
          <w:bCs/>
          <w:sz w:val="24"/>
          <w:szCs w:val="24"/>
        </w:rPr>
        <w:t>Ebersberg</w:t>
      </w:r>
    </w:p>
    <w:p w14:paraId="3B9EA706" w14:textId="77777777" w:rsidR="0065402E" w:rsidRPr="00DE6315" w:rsidRDefault="0065402E" w:rsidP="006F573D">
      <w:pPr>
        <w:ind w:left="360" w:right="-1"/>
        <w:jc w:val="both"/>
        <w:rPr>
          <w:rFonts w:cs="Calibri"/>
          <w:b/>
        </w:rPr>
      </w:pPr>
    </w:p>
    <w:p w14:paraId="507A6ED7" w14:textId="77777777" w:rsidR="00571068" w:rsidRPr="00DE6315" w:rsidRDefault="00571068" w:rsidP="006F573D">
      <w:pPr>
        <w:ind w:left="360" w:right="-1"/>
        <w:jc w:val="both"/>
        <w:rPr>
          <w:rFonts w:cs="Calibri"/>
          <w:b/>
        </w:rPr>
      </w:pPr>
    </w:p>
    <w:p w14:paraId="03FB09E6" w14:textId="77777777" w:rsidR="008502DA" w:rsidRPr="008502DA" w:rsidRDefault="008502DA" w:rsidP="006F573D">
      <w:pPr>
        <w:ind w:left="360" w:right="-1"/>
        <w:jc w:val="both"/>
        <w:rPr>
          <w:rFonts w:cs="Calibri"/>
          <w:b/>
        </w:rPr>
      </w:pPr>
    </w:p>
    <w:sectPr w:rsidR="008502DA" w:rsidRPr="008502DA" w:rsidSect="005A52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61" w:bottom="1418" w:left="147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2157" w14:textId="77777777" w:rsidR="000F12D4" w:rsidRPr="00DE6315" w:rsidRDefault="000F12D4" w:rsidP="00C35EB2">
      <w:pPr>
        <w:spacing w:after="0" w:line="240" w:lineRule="auto"/>
      </w:pPr>
      <w:r w:rsidRPr="00DE6315">
        <w:separator/>
      </w:r>
    </w:p>
  </w:endnote>
  <w:endnote w:type="continuationSeparator" w:id="0">
    <w:p w14:paraId="47752B5C" w14:textId="77777777" w:rsidR="000F12D4" w:rsidRPr="00DE6315" w:rsidRDefault="000F12D4" w:rsidP="00C35EB2">
      <w:pPr>
        <w:spacing w:after="0" w:line="240" w:lineRule="auto"/>
      </w:pPr>
      <w:r w:rsidRPr="00DE63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D19B" w14:textId="77777777" w:rsidR="002D458E" w:rsidRDefault="002D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A03" w14:textId="2CC9DDB4" w:rsidR="003852D2" w:rsidRPr="00DE6315" w:rsidRDefault="003852D2" w:rsidP="003852D2">
    <w:pPr>
      <w:pStyle w:val="Footer"/>
      <w:tabs>
        <w:tab w:val="clear" w:pos="8504"/>
      </w:tabs>
      <w:jc w:val="right"/>
    </w:pPr>
    <w:r w:rsidRPr="00DE6315">
      <w:fldChar w:fldCharType="begin"/>
    </w:r>
    <w:r w:rsidRPr="00DE6315">
      <w:instrText>PAGE   \* MERGEFORMAT</w:instrText>
    </w:r>
    <w:r w:rsidRPr="00DE6315">
      <w:fldChar w:fldCharType="separate"/>
    </w:r>
    <w:r w:rsidR="009817E1">
      <w:rPr>
        <w:noProof/>
      </w:rPr>
      <w:t>6</w:t>
    </w:r>
    <w:r w:rsidRPr="00DE6315">
      <w:fldChar w:fldCharType="end"/>
    </w:r>
  </w:p>
  <w:p w14:paraId="549B00E8" w14:textId="77777777" w:rsidR="00C35EB2" w:rsidRPr="00DE6315" w:rsidRDefault="00C35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E83E" w14:textId="77777777" w:rsidR="002D458E" w:rsidRDefault="002D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6827" w14:textId="77777777" w:rsidR="000F12D4" w:rsidRPr="00DE6315" w:rsidRDefault="000F12D4" w:rsidP="00C35EB2">
      <w:pPr>
        <w:spacing w:after="0" w:line="240" w:lineRule="auto"/>
      </w:pPr>
      <w:r w:rsidRPr="00DE6315">
        <w:separator/>
      </w:r>
    </w:p>
  </w:footnote>
  <w:footnote w:type="continuationSeparator" w:id="0">
    <w:p w14:paraId="10345FAE" w14:textId="77777777" w:rsidR="000F12D4" w:rsidRPr="00DE6315" w:rsidRDefault="000F12D4" w:rsidP="00C35EB2">
      <w:pPr>
        <w:spacing w:after="0" w:line="240" w:lineRule="auto"/>
      </w:pPr>
      <w:r w:rsidRPr="00DE63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577F" w14:textId="77777777" w:rsidR="002D458E" w:rsidRDefault="002D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2BF9" w14:textId="77777777" w:rsidR="002D458E" w:rsidRDefault="002D4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03D8" w14:textId="77777777" w:rsidR="002D458E" w:rsidRDefault="002D4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E5F"/>
    <w:multiLevelType w:val="hybridMultilevel"/>
    <w:tmpl w:val="BFEAFE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224"/>
    <w:multiLevelType w:val="hybridMultilevel"/>
    <w:tmpl w:val="2E2474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88D"/>
    <w:multiLevelType w:val="hybridMultilevel"/>
    <w:tmpl w:val="4C1A1A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BBE"/>
    <w:multiLevelType w:val="hybridMultilevel"/>
    <w:tmpl w:val="FED4C7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66904"/>
    <w:multiLevelType w:val="hybridMultilevel"/>
    <w:tmpl w:val="CFEAE732"/>
    <w:lvl w:ilvl="0" w:tplc="29AABF3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F8573D"/>
    <w:multiLevelType w:val="hybridMultilevel"/>
    <w:tmpl w:val="EF18FF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940E1"/>
    <w:multiLevelType w:val="multilevel"/>
    <w:tmpl w:val="029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C0798"/>
    <w:multiLevelType w:val="hybridMultilevel"/>
    <w:tmpl w:val="1DE2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7E33"/>
    <w:multiLevelType w:val="hybridMultilevel"/>
    <w:tmpl w:val="F5E620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91E1E"/>
    <w:multiLevelType w:val="hybridMultilevel"/>
    <w:tmpl w:val="0A54B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D0442"/>
    <w:multiLevelType w:val="hybridMultilevel"/>
    <w:tmpl w:val="A016F1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3149"/>
    <w:multiLevelType w:val="hybridMultilevel"/>
    <w:tmpl w:val="C0D428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C7ABD"/>
    <w:multiLevelType w:val="hybridMultilevel"/>
    <w:tmpl w:val="DB8E5B74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706E0D58"/>
    <w:multiLevelType w:val="hybridMultilevel"/>
    <w:tmpl w:val="65A87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6606">
    <w:abstractNumId w:val="3"/>
  </w:num>
  <w:num w:numId="2" w16cid:durableId="1783261453">
    <w:abstractNumId w:val="9"/>
  </w:num>
  <w:num w:numId="3" w16cid:durableId="1815826882">
    <w:abstractNumId w:val="7"/>
  </w:num>
  <w:num w:numId="4" w16cid:durableId="225575125">
    <w:abstractNumId w:val="0"/>
  </w:num>
  <w:num w:numId="5" w16cid:durableId="636834220">
    <w:abstractNumId w:val="13"/>
  </w:num>
  <w:num w:numId="6" w16cid:durableId="1097940014">
    <w:abstractNumId w:val="12"/>
  </w:num>
  <w:num w:numId="7" w16cid:durableId="986518614">
    <w:abstractNumId w:val="8"/>
  </w:num>
  <w:num w:numId="8" w16cid:durableId="1768040085">
    <w:abstractNumId w:val="11"/>
  </w:num>
  <w:num w:numId="9" w16cid:durableId="1466508204">
    <w:abstractNumId w:val="1"/>
  </w:num>
  <w:num w:numId="10" w16cid:durableId="451247076">
    <w:abstractNumId w:val="2"/>
  </w:num>
  <w:num w:numId="11" w16cid:durableId="754473895">
    <w:abstractNumId w:val="10"/>
  </w:num>
  <w:num w:numId="12" w16cid:durableId="1731729820">
    <w:abstractNumId w:val="5"/>
  </w:num>
  <w:num w:numId="13" w16cid:durableId="1422801027">
    <w:abstractNumId w:val="4"/>
  </w:num>
  <w:num w:numId="14" w16cid:durableId="9966901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A1"/>
    <w:rsid w:val="00000C84"/>
    <w:rsid w:val="00004414"/>
    <w:rsid w:val="0001179A"/>
    <w:rsid w:val="000130DC"/>
    <w:rsid w:val="00017B63"/>
    <w:rsid w:val="00027432"/>
    <w:rsid w:val="0003439D"/>
    <w:rsid w:val="00037661"/>
    <w:rsid w:val="00042149"/>
    <w:rsid w:val="0004486F"/>
    <w:rsid w:val="00063989"/>
    <w:rsid w:val="00064D60"/>
    <w:rsid w:val="000670E2"/>
    <w:rsid w:val="000677D8"/>
    <w:rsid w:val="000736A7"/>
    <w:rsid w:val="0008268F"/>
    <w:rsid w:val="000A0947"/>
    <w:rsid w:val="000A466F"/>
    <w:rsid w:val="000B04E4"/>
    <w:rsid w:val="000B137C"/>
    <w:rsid w:val="000B3EEE"/>
    <w:rsid w:val="000B454B"/>
    <w:rsid w:val="000B63D0"/>
    <w:rsid w:val="000C7475"/>
    <w:rsid w:val="000D4BD6"/>
    <w:rsid w:val="000F12D4"/>
    <w:rsid w:val="00101B4C"/>
    <w:rsid w:val="001070F1"/>
    <w:rsid w:val="00111A9B"/>
    <w:rsid w:val="00115EF4"/>
    <w:rsid w:val="001266A0"/>
    <w:rsid w:val="00131ABC"/>
    <w:rsid w:val="00132A01"/>
    <w:rsid w:val="001364DF"/>
    <w:rsid w:val="001374D5"/>
    <w:rsid w:val="001400FE"/>
    <w:rsid w:val="00142D90"/>
    <w:rsid w:val="001437CB"/>
    <w:rsid w:val="00150A9E"/>
    <w:rsid w:val="00154F56"/>
    <w:rsid w:val="00156A2C"/>
    <w:rsid w:val="00157477"/>
    <w:rsid w:val="00171B4A"/>
    <w:rsid w:val="00175B0C"/>
    <w:rsid w:val="00182407"/>
    <w:rsid w:val="00182F55"/>
    <w:rsid w:val="0018492B"/>
    <w:rsid w:val="00184E57"/>
    <w:rsid w:val="0019050A"/>
    <w:rsid w:val="001A10D9"/>
    <w:rsid w:val="001C028E"/>
    <w:rsid w:val="001C1240"/>
    <w:rsid w:val="001C2D3E"/>
    <w:rsid w:val="001F5583"/>
    <w:rsid w:val="00212A3E"/>
    <w:rsid w:val="002166D1"/>
    <w:rsid w:val="0022048A"/>
    <w:rsid w:val="00232218"/>
    <w:rsid w:val="0023598A"/>
    <w:rsid w:val="00236C36"/>
    <w:rsid w:val="00240FAF"/>
    <w:rsid w:val="0025145F"/>
    <w:rsid w:val="00254B0A"/>
    <w:rsid w:val="00255A44"/>
    <w:rsid w:val="00261707"/>
    <w:rsid w:val="00262001"/>
    <w:rsid w:val="002631A8"/>
    <w:rsid w:val="00264D3D"/>
    <w:rsid w:val="00266630"/>
    <w:rsid w:val="002674EE"/>
    <w:rsid w:val="002678EB"/>
    <w:rsid w:val="00270507"/>
    <w:rsid w:val="00275090"/>
    <w:rsid w:val="00277396"/>
    <w:rsid w:val="0028097E"/>
    <w:rsid w:val="0028489D"/>
    <w:rsid w:val="00293D86"/>
    <w:rsid w:val="00294F08"/>
    <w:rsid w:val="00296529"/>
    <w:rsid w:val="002A2C99"/>
    <w:rsid w:val="002A3D78"/>
    <w:rsid w:val="002B7803"/>
    <w:rsid w:val="002C7D9A"/>
    <w:rsid w:val="002D458E"/>
    <w:rsid w:val="002D502A"/>
    <w:rsid w:val="002E7151"/>
    <w:rsid w:val="002F0F3B"/>
    <w:rsid w:val="0030163C"/>
    <w:rsid w:val="00302EE5"/>
    <w:rsid w:val="00306223"/>
    <w:rsid w:val="0030725E"/>
    <w:rsid w:val="00307F54"/>
    <w:rsid w:val="00325536"/>
    <w:rsid w:val="00326571"/>
    <w:rsid w:val="00326A98"/>
    <w:rsid w:val="00337D1D"/>
    <w:rsid w:val="00340185"/>
    <w:rsid w:val="00356DFF"/>
    <w:rsid w:val="0035756D"/>
    <w:rsid w:val="00362503"/>
    <w:rsid w:val="003660B7"/>
    <w:rsid w:val="003661BA"/>
    <w:rsid w:val="00371E5A"/>
    <w:rsid w:val="0037222A"/>
    <w:rsid w:val="003762C7"/>
    <w:rsid w:val="003852D2"/>
    <w:rsid w:val="00391C2C"/>
    <w:rsid w:val="00394731"/>
    <w:rsid w:val="00394C93"/>
    <w:rsid w:val="00396FCD"/>
    <w:rsid w:val="003B1CC1"/>
    <w:rsid w:val="003B2A62"/>
    <w:rsid w:val="003B2CAD"/>
    <w:rsid w:val="003B5BE2"/>
    <w:rsid w:val="003B5DA1"/>
    <w:rsid w:val="003E32EC"/>
    <w:rsid w:val="003F7082"/>
    <w:rsid w:val="003F7B20"/>
    <w:rsid w:val="00402AB7"/>
    <w:rsid w:val="004049E8"/>
    <w:rsid w:val="00421266"/>
    <w:rsid w:val="00427731"/>
    <w:rsid w:val="0043346E"/>
    <w:rsid w:val="00442E91"/>
    <w:rsid w:val="004449D5"/>
    <w:rsid w:val="00444F6F"/>
    <w:rsid w:val="00455101"/>
    <w:rsid w:val="00457C5C"/>
    <w:rsid w:val="00463254"/>
    <w:rsid w:val="00473D11"/>
    <w:rsid w:val="0047779A"/>
    <w:rsid w:val="00484E6D"/>
    <w:rsid w:val="00494A8A"/>
    <w:rsid w:val="00496257"/>
    <w:rsid w:val="004C048C"/>
    <w:rsid w:val="004C30E2"/>
    <w:rsid w:val="004C4E61"/>
    <w:rsid w:val="004D13E2"/>
    <w:rsid w:val="004E6AD3"/>
    <w:rsid w:val="0050372B"/>
    <w:rsid w:val="005043E2"/>
    <w:rsid w:val="00505BFD"/>
    <w:rsid w:val="0052067A"/>
    <w:rsid w:val="005471EE"/>
    <w:rsid w:val="00552A15"/>
    <w:rsid w:val="00565B4E"/>
    <w:rsid w:val="00571068"/>
    <w:rsid w:val="00587841"/>
    <w:rsid w:val="005A523B"/>
    <w:rsid w:val="005A79D7"/>
    <w:rsid w:val="005C5C8A"/>
    <w:rsid w:val="005C60DD"/>
    <w:rsid w:val="005C643C"/>
    <w:rsid w:val="005D0936"/>
    <w:rsid w:val="005D3968"/>
    <w:rsid w:val="005F0939"/>
    <w:rsid w:val="005F482F"/>
    <w:rsid w:val="00607AED"/>
    <w:rsid w:val="00612189"/>
    <w:rsid w:val="00612622"/>
    <w:rsid w:val="0064043D"/>
    <w:rsid w:val="00640FDC"/>
    <w:rsid w:val="006442E3"/>
    <w:rsid w:val="0065402E"/>
    <w:rsid w:val="00654977"/>
    <w:rsid w:val="00661FD7"/>
    <w:rsid w:val="006779C0"/>
    <w:rsid w:val="00687317"/>
    <w:rsid w:val="00690021"/>
    <w:rsid w:val="00690447"/>
    <w:rsid w:val="006A39E2"/>
    <w:rsid w:val="006A7299"/>
    <w:rsid w:val="006B33EE"/>
    <w:rsid w:val="006C4A0D"/>
    <w:rsid w:val="006C5423"/>
    <w:rsid w:val="006C5B78"/>
    <w:rsid w:val="006D2728"/>
    <w:rsid w:val="006D7E8F"/>
    <w:rsid w:val="006E3FD4"/>
    <w:rsid w:val="006E4B2F"/>
    <w:rsid w:val="006E59A0"/>
    <w:rsid w:val="006F573D"/>
    <w:rsid w:val="00702CE7"/>
    <w:rsid w:val="007049B7"/>
    <w:rsid w:val="0070591C"/>
    <w:rsid w:val="00707327"/>
    <w:rsid w:val="00707533"/>
    <w:rsid w:val="00721F8E"/>
    <w:rsid w:val="0072321A"/>
    <w:rsid w:val="00723A1D"/>
    <w:rsid w:val="007268CA"/>
    <w:rsid w:val="0072750F"/>
    <w:rsid w:val="0073482E"/>
    <w:rsid w:val="00742160"/>
    <w:rsid w:val="007426A1"/>
    <w:rsid w:val="007440C0"/>
    <w:rsid w:val="00746742"/>
    <w:rsid w:val="00755131"/>
    <w:rsid w:val="00760093"/>
    <w:rsid w:val="00765B1F"/>
    <w:rsid w:val="00770FCB"/>
    <w:rsid w:val="00776069"/>
    <w:rsid w:val="00776444"/>
    <w:rsid w:val="007828B3"/>
    <w:rsid w:val="0079206D"/>
    <w:rsid w:val="00795757"/>
    <w:rsid w:val="007973FD"/>
    <w:rsid w:val="007A00FA"/>
    <w:rsid w:val="007A0824"/>
    <w:rsid w:val="007C0C51"/>
    <w:rsid w:val="007C333B"/>
    <w:rsid w:val="007D4270"/>
    <w:rsid w:val="007D7745"/>
    <w:rsid w:val="007E0A7F"/>
    <w:rsid w:val="007E1F4E"/>
    <w:rsid w:val="007F0163"/>
    <w:rsid w:val="007F02E4"/>
    <w:rsid w:val="007F4C7B"/>
    <w:rsid w:val="007F6825"/>
    <w:rsid w:val="00800BC4"/>
    <w:rsid w:val="00802CB0"/>
    <w:rsid w:val="0080351B"/>
    <w:rsid w:val="008145AB"/>
    <w:rsid w:val="008159C5"/>
    <w:rsid w:val="0082032E"/>
    <w:rsid w:val="00821A19"/>
    <w:rsid w:val="00835894"/>
    <w:rsid w:val="00835FF5"/>
    <w:rsid w:val="0084376D"/>
    <w:rsid w:val="008502DA"/>
    <w:rsid w:val="00850376"/>
    <w:rsid w:val="00863DA7"/>
    <w:rsid w:val="00865360"/>
    <w:rsid w:val="00872011"/>
    <w:rsid w:val="008801A2"/>
    <w:rsid w:val="008817E3"/>
    <w:rsid w:val="008838DC"/>
    <w:rsid w:val="00887618"/>
    <w:rsid w:val="00893107"/>
    <w:rsid w:val="008A02BD"/>
    <w:rsid w:val="008A1E8C"/>
    <w:rsid w:val="008B0182"/>
    <w:rsid w:val="008C1682"/>
    <w:rsid w:val="008C5751"/>
    <w:rsid w:val="008D7791"/>
    <w:rsid w:val="008E1108"/>
    <w:rsid w:val="008E2F0E"/>
    <w:rsid w:val="008E73B4"/>
    <w:rsid w:val="009031DB"/>
    <w:rsid w:val="009045C9"/>
    <w:rsid w:val="00907E2A"/>
    <w:rsid w:val="009147BD"/>
    <w:rsid w:val="00916494"/>
    <w:rsid w:val="00927E61"/>
    <w:rsid w:val="00933E0F"/>
    <w:rsid w:val="0093419A"/>
    <w:rsid w:val="00940C83"/>
    <w:rsid w:val="00940E94"/>
    <w:rsid w:val="00942243"/>
    <w:rsid w:val="00944EDE"/>
    <w:rsid w:val="00954019"/>
    <w:rsid w:val="00970BD5"/>
    <w:rsid w:val="0097664C"/>
    <w:rsid w:val="009776F0"/>
    <w:rsid w:val="009817E1"/>
    <w:rsid w:val="00981D35"/>
    <w:rsid w:val="009876F3"/>
    <w:rsid w:val="009902D6"/>
    <w:rsid w:val="0099243C"/>
    <w:rsid w:val="009A3D35"/>
    <w:rsid w:val="009A768F"/>
    <w:rsid w:val="009B4A01"/>
    <w:rsid w:val="009C2DB4"/>
    <w:rsid w:val="009C370F"/>
    <w:rsid w:val="009D1BB7"/>
    <w:rsid w:val="009D2DE1"/>
    <w:rsid w:val="009E4CA4"/>
    <w:rsid w:val="009F3E40"/>
    <w:rsid w:val="00A03422"/>
    <w:rsid w:val="00A03BE6"/>
    <w:rsid w:val="00A03C2A"/>
    <w:rsid w:val="00A06927"/>
    <w:rsid w:val="00A07195"/>
    <w:rsid w:val="00A20468"/>
    <w:rsid w:val="00A24DC6"/>
    <w:rsid w:val="00A32F17"/>
    <w:rsid w:val="00A3333F"/>
    <w:rsid w:val="00A34847"/>
    <w:rsid w:val="00A34C17"/>
    <w:rsid w:val="00A477A4"/>
    <w:rsid w:val="00A5078F"/>
    <w:rsid w:val="00A50F0A"/>
    <w:rsid w:val="00A532C9"/>
    <w:rsid w:val="00A67515"/>
    <w:rsid w:val="00A77DF7"/>
    <w:rsid w:val="00A91361"/>
    <w:rsid w:val="00A97B57"/>
    <w:rsid w:val="00AA2626"/>
    <w:rsid w:val="00AB1C01"/>
    <w:rsid w:val="00AB753B"/>
    <w:rsid w:val="00AB7C13"/>
    <w:rsid w:val="00AC06DE"/>
    <w:rsid w:val="00AC1427"/>
    <w:rsid w:val="00AC62A1"/>
    <w:rsid w:val="00AD0F92"/>
    <w:rsid w:val="00AD6FEE"/>
    <w:rsid w:val="00AD74A0"/>
    <w:rsid w:val="00AE06E2"/>
    <w:rsid w:val="00AE6836"/>
    <w:rsid w:val="00AF31A1"/>
    <w:rsid w:val="00B122A4"/>
    <w:rsid w:val="00B20FF3"/>
    <w:rsid w:val="00B306AC"/>
    <w:rsid w:val="00B45679"/>
    <w:rsid w:val="00B45BD2"/>
    <w:rsid w:val="00B53920"/>
    <w:rsid w:val="00B733E8"/>
    <w:rsid w:val="00B7488B"/>
    <w:rsid w:val="00B81399"/>
    <w:rsid w:val="00B84079"/>
    <w:rsid w:val="00B867F3"/>
    <w:rsid w:val="00B9297E"/>
    <w:rsid w:val="00B96818"/>
    <w:rsid w:val="00BA0FDB"/>
    <w:rsid w:val="00BB0DEE"/>
    <w:rsid w:val="00BB3559"/>
    <w:rsid w:val="00BE656A"/>
    <w:rsid w:val="00C10CF1"/>
    <w:rsid w:val="00C32C0A"/>
    <w:rsid w:val="00C3407B"/>
    <w:rsid w:val="00C35DCE"/>
    <w:rsid w:val="00C35EB2"/>
    <w:rsid w:val="00C402BA"/>
    <w:rsid w:val="00C4436C"/>
    <w:rsid w:val="00C60671"/>
    <w:rsid w:val="00C64B0D"/>
    <w:rsid w:val="00C71AE5"/>
    <w:rsid w:val="00C74030"/>
    <w:rsid w:val="00C75734"/>
    <w:rsid w:val="00C82B21"/>
    <w:rsid w:val="00C9338E"/>
    <w:rsid w:val="00C934C5"/>
    <w:rsid w:val="00C95733"/>
    <w:rsid w:val="00C95DB0"/>
    <w:rsid w:val="00C97B6C"/>
    <w:rsid w:val="00CA0840"/>
    <w:rsid w:val="00CB072B"/>
    <w:rsid w:val="00CC2496"/>
    <w:rsid w:val="00CC2849"/>
    <w:rsid w:val="00CC65F8"/>
    <w:rsid w:val="00CD2D98"/>
    <w:rsid w:val="00CD4CBC"/>
    <w:rsid w:val="00CE1BBA"/>
    <w:rsid w:val="00CF0D98"/>
    <w:rsid w:val="00CF38E1"/>
    <w:rsid w:val="00CF6119"/>
    <w:rsid w:val="00CF6208"/>
    <w:rsid w:val="00D0204B"/>
    <w:rsid w:val="00D07CC3"/>
    <w:rsid w:val="00D1380A"/>
    <w:rsid w:val="00D142FE"/>
    <w:rsid w:val="00D2684B"/>
    <w:rsid w:val="00D27403"/>
    <w:rsid w:val="00D33BC6"/>
    <w:rsid w:val="00D37B5E"/>
    <w:rsid w:val="00D40EF9"/>
    <w:rsid w:val="00D43D23"/>
    <w:rsid w:val="00D45827"/>
    <w:rsid w:val="00D47985"/>
    <w:rsid w:val="00D51F01"/>
    <w:rsid w:val="00D62FA6"/>
    <w:rsid w:val="00D6425D"/>
    <w:rsid w:val="00D66A54"/>
    <w:rsid w:val="00D75EBF"/>
    <w:rsid w:val="00D916B6"/>
    <w:rsid w:val="00D93B1B"/>
    <w:rsid w:val="00D963CD"/>
    <w:rsid w:val="00D97011"/>
    <w:rsid w:val="00DA310C"/>
    <w:rsid w:val="00DB04CC"/>
    <w:rsid w:val="00DC420A"/>
    <w:rsid w:val="00DD0898"/>
    <w:rsid w:val="00DD1A4A"/>
    <w:rsid w:val="00DD68BC"/>
    <w:rsid w:val="00DE10AC"/>
    <w:rsid w:val="00DE24F2"/>
    <w:rsid w:val="00DE4A6D"/>
    <w:rsid w:val="00DE4CCC"/>
    <w:rsid w:val="00DE4FD6"/>
    <w:rsid w:val="00DE6315"/>
    <w:rsid w:val="00DF430B"/>
    <w:rsid w:val="00DF444C"/>
    <w:rsid w:val="00E04294"/>
    <w:rsid w:val="00E058CF"/>
    <w:rsid w:val="00E10247"/>
    <w:rsid w:val="00E12949"/>
    <w:rsid w:val="00E17CFC"/>
    <w:rsid w:val="00E21674"/>
    <w:rsid w:val="00E26705"/>
    <w:rsid w:val="00E40E52"/>
    <w:rsid w:val="00E4213A"/>
    <w:rsid w:val="00E4472A"/>
    <w:rsid w:val="00E4508A"/>
    <w:rsid w:val="00E573A9"/>
    <w:rsid w:val="00E60681"/>
    <w:rsid w:val="00E609FB"/>
    <w:rsid w:val="00E652DA"/>
    <w:rsid w:val="00E65BC3"/>
    <w:rsid w:val="00E74AF9"/>
    <w:rsid w:val="00E75EF1"/>
    <w:rsid w:val="00E77095"/>
    <w:rsid w:val="00E82779"/>
    <w:rsid w:val="00E93344"/>
    <w:rsid w:val="00E93371"/>
    <w:rsid w:val="00EA15DA"/>
    <w:rsid w:val="00EA4440"/>
    <w:rsid w:val="00EA544C"/>
    <w:rsid w:val="00EB0309"/>
    <w:rsid w:val="00EC3D43"/>
    <w:rsid w:val="00EC56FA"/>
    <w:rsid w:val="00ED0E5F"/>
    <w:rsid w:val="00ED242A"/>
    <w:rsid w:val="00EE43E2"/>
    <w:rsid w:val="00EE7DB8"/>
    <w:rsid w:val="00EF3E82"/>
    <w:rsid w:val="00EF6863"/>
    <w:rsid w:val="00EF7A37"/>
    <w:rsid w:val="00F053E6"/>
    <w:rsid w:val="00F05F22"/>
    <w:rsid w:val="00F06599"/>
    <w:rsid w:val="00F07A5F"/>
    <w:rsid w:val="00F1045D"/>
    <w:rsid w:val="00F30B2C"/>
    <w:rsid w:val="00F3434E"/>
    <w:rsid w:val="00F41FDD"/>
    <w:rsid w:val="00F47D4B"/>
    <w:rsid w:val="00F72F62"/>
    <w:rsid w:val="00F776CA"/>
    <w:rsid w:val="00F81882"/>
    <w:rsid w:val="00F83B58"/>
    <w:rsid w:val="00F8564C"/>
    <w:rsid w:val="00F901FA"/>
    <w:rsid w:val="00F90223"/>
    <w:rsid w:val="00F906F1"/>
    <w:rsid w:val="00F91014"/>
    <w:rsid w:val="00F94608"/>
    <w:rsid w:val="00F94863"/>
    <w:rsid w:val="00F97A70"/>
    <w:rsid w:val="00FA5255"/>
    <w:rsid w:val="00FA69A6"/>
    <w:rsid w:val="00FB3B41"/>
    <w:rsid w:val="00FB53E8"/>
    <w:rsid w:val="00FB7559"/>
    <w:rsid w:val="00FC229A"/>
    <w:rsid w:val="00FC3D27"/>
    <w:rsid w:val="00FC4848"/>
    <w:rsid w:val="00FC6CC5"/>
    <w:rsid w:val="00FC7D73"/>
    <w:rsid w:val="00FD7522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C487"/>
  <w15:chartTrackingRefBased/>
  <w15:docId w15:val="{8945A69B-E42E-4AF4-9961-2DBE4DAC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5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40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C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0C8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C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0C83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C83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35EB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35EB2"/>
    <w:rPr>
      <w:sz w:val="22"/>
      <w:szCs w:val="22"/>
      <w:lang w:val="en-GB" w:eastAsia="en-US"/>
    </w:rPr>
  </w:style>
  <w:style w:type="paragraph" w:styleId="List3">
    <w:name w:val="List 3"/>
    <w:basedOn w:val="Normal"/>
    <w:uiPriority w:val="99"/>
    <w:unhideWhenUsed/>
    <w:rsid w:val="00D916B6"/>
    <w:pPr>
      <w:ind w:left="849" w:hanging="283"/>
      <w:contextualSpacing/>
      <w:jc w:val="both"/>
    </w:pPr>
    <w:rPr>
      <w:rFonts w:eastAsia="Times New Roman"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C7D73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70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7011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lassifElenix" source-type="AdditionalFields">
        <TAG><![CDATA[#NOVOREGISTO:CA:ClassifElenix#]]></TAG>
        <VALUE><![CDATA[#NOVOREGISTO:CA:ClassifElenix#]]></VALUE>
        <XPATH><![CDATA[/CARD/FIELDS/FIELD[NAME='ClassifElenix']/VALUE]]></XPATH>
      </FIELD>
      <FIELD type="AdditionalFields" label="Local_Arquivo" source-type="AdditionalFields">
        <TAG><![CDATA[#NOVOREGISTO:CA:Local_Arquivo#]]></TAG>
        <VALUE><![CDATA[#NOVOREGISTO:CA:Local_Arquivo#]]></VALUE>
        <XPATH><![CDATA[/CARD/FIELDS/FIELD[NAME='Local_Arquiv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lassifElenix" source-type="AdditionalFields">
        <TAG><![CDATA[#PRIMEIROREGISTO:CA:ClassifElenix#]]></TAG>
        <VALUE><![CDATA[#PRIMEIROREGISTO:CA:ClassifElenix#]]></VALUE>
        <XPATH><![CDATA[/CARD/FIELDS/FIELD[NAME='ClassifElenix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lassifElenix" source-type="AdditionalFields">
        <TAG><![CDATA[#PRIMEIROPROCESSO:CA:ClassifElenix#]]></TAG>
        <VALUE><![CDATA[#PRIMEIROPROCESSO:CA:ClassifElenix#]]></VALUE>
        <XPATH><![CDATA[/CARD/FIELDS/FIELD[NAME='ClassifElenix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</NODE>
  </NODE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8A4F0ED6AAC4DBF528CA16A446EBD" ma:contentTypeVersion="15" ma:contentTypeDescription="Create a new document." ma:contentTypeScope="" ma:versionID="878cf2f0781d7b2c09b6e2f0946cd955">
  <xsd:schema xmlns:xsd="http://www.w3.org/2001/XMLSchema" xmlns:xs="http://www.w3.org/2001/XMLSchema" xmlns:p="http://schemas.microsoft.com/office/2006/metadata/properties" xmlns:ns2="ed53cbc3-507a-49b3-991f-a2f23f26082f" xmlns:ns3="1f218e2f-722f-42ad-a80e-79a2687c6e1d" targetNamespace="http://schemas.microsoft.com/office/2006/metadata/properties" ma:root="true" ma:fieldsID="4a61397610d4b79d16a77b7387e9f5d5" ns2:_="" ns3:_="">
    <xsd:import namespace="ed53cbc3-507a-49b3-991f-a2f23f26082f"/>
    <xsd:import namespace="1f218e2f-722f-42ad-a80e-79a2687c6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omme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cbc3-507a-49b3-991f-a2f23f260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2c27-727a-47a1-8d9f-b2cb979f3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8e2f-722f-42ad-a80e-79a2687c6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afdcde-07d5-47bf-9704-a12b522e7d84}" ma:internalName="TaxCatchAll" ma:showField="CatchAllData" ma:web="1f218e2f-722f-42ad-a80e-79a2687c6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 U Y M P T ! 2 2 3 6 0 8 4 5 . 2 < / d o c u m e n t i d >  
     < s e n d e r i d > M V 1 < / s e n d e r i d >  
     < s e n d e r e m a i l > M A R I A N A . V I A N A P E D R E I R A @ U R I A . C O M < / s e n d e r e m a i l >  
     < l a s t m o d i f i e d > 2 0 2 5 - 0 3 - 2 5 T 1 7 : 4 0 : 0 0 . 0 0 0 0 0 0 0 + 0 0 : 0 0 < / l a s t m o d i f i e d >  
     < d a t a b a s e > U Y M P T 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3cbc3-507a-49b3-991f-a2f23f26082f">
      <Terms xmlns="http://schemas.microsoft.com/office/infopath/2007/PartnerControls"/>
    </lcf76f155ced4ddcb4097134ff3c332f>
    <TaxCatchAll xmlns="1f218e2f-722f-42ad-a80e-79a2687c6e1d" xsi:nil="true"/>
    <Comments xmlns="ed53cbc3-507a-49b3-991f-a2f23f26082f" xsi:nil="true"/>
  </documentManagement>
</p:properties>
</file>

<file path=customXml/itemProps1.xml><?xml version="1.0" encoding="utf-8"?>
<ds:datastoreItem xmlns:ds="http://schemas.openxmlformats.org/officeDocument/2006/customXml" ds:itemID="{20D3AE53-EF48-49AD-9BFB-BDE36B6B426F}">
  <ds:schemaRefs/>
</ds:datastoreItem>
</file>

<file path=customXml/itemProps2.xml><?xml version="1.0" encoding="utf-8"?>
<ds:datastoreItem xmlns:ds="http://schemas.openxmlformats.org/officeDocument/2006/customXml" ds:itemID="{DC8291CD-3AF8-4133-BA7F-8EB4D1070E07}"/>
</file>

<file path=customXml/itemProps3.xml><?xml version="1.0" encoding="utf-8"?>
<ds:datastoreItem xmlns:ds="http://schemas.openxmlformats.org/officeDocument/2006/customXml" ds:itemID="{36623A7C-E25B-453C-AC58-FCB40AEBB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8FAD8-154B-4BD4-B27B-557C582EEE38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79395BA-39A8-4409-8B30-315EDD8C55A0}">
  <ds:schemaRefs>
    <ds:schemaRef ds:uri="http://schemas.microsoft.com/office/2006/metadata/properties"/>
    <ds:schemaRef ds:uri="http://schemas.microsoft.com/office/infopath/2007/PartnerControls"/>
    <ds:schemaRef ds:uri="ed53cbc3-507a-49b3-991f-a2f23f26082f"/>
    <ds:schemaRef ds:uri="1f218e2f-722f-42ad-a80e-79a2687c6e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EDA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Villas Boas</dc:creator>
  <cp:keywords/>
  <cp:lastModifiedBy>Rick Bercuvitz</cp:lastModifiedBy>
  <cp:revision>6</cp:revision>
  <cp:lastPrinted>2018-03-20T15:32:00Z</cp:lastPrinted>
  <dcterms:created xsi:type="dcterms:W3CDTF">2025-12-01T00:49:00Z</dcterms:created>
  <dcterms:modified xsi:type="dcterms:W3CDTF">2025-12-02T20:38:00Z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https://rcd.eda.pt/</vt:lpwstr>
  </property>
  <property fmtid="{D5CDD505-2E9C-101B-9397-08002B2CF9AE}" pid="3" name="_edoclink_DocumentKey">
    <vt:lpwstr>03c60bd2-14b3-4bbd-bf18-f94741721307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a20f263f-2078-ee11-957e-005056a39215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3b2fcc55-a1ff-ed11-9577-005056a39215</vt:lpwstr>
  </property>
  <property fmtid="{D5CDD505-2E9C-101B-9397-08002B2CF9AE}" pid="8" name="ContentTypeId">
    <vt:lpwstr>0x0101001FA8A4F0ED6AAC4DBF528CA16A446EBD</vt:lpwstr>
  </property>
</Properties>
</file>